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3655" w14:textId="77777777" w:rsidR="003512DB" w:rsidRPr="004C1AAD" w:rsidRDefault="003512DB" w:rsidP="003512DB">
      <w:pPr>
        <w:spacing w:after="120" w:line="240" w:lineRule="auto"/>
        <w:ind w:left="-57" w:right="6237"/>
        <w:jc w:val="center"/>
        <w:rPr>
          <w:rFonts w:eastAsia="Times New Roman" w:cstheme="minorHAnsi"/>
          <w:lang w:eastAsia="hr-HR"/>
        </w:rPr>
      </w:pPr>
      <w:r w:rsidRPr="004C1AAD">
        <w:rPr>
          <w:rFonts w:eastAsia="Times New Roman" w:cstheme="minorHAnsi"/>
          <w:noProof/>
          <w:lang w:eastAsia="hr-HR"/>
        </w:rPr>
        <w:drawing>
          <wp:inline distT="0" distB="0" distL="0" distR="0" wp14:anchorId="7E70A387" wp14:editId="423E6DD3">
            <wp:extent cx="480950" cy="57316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950" cy="57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51DE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b/>
          <w:sz w:val="24"/>
          <w:lang w:eastAsia="hr-HR"/>
        </w:rPr>
      </w:pPr>
      <w:r w:rsidRPr="004C1AAD">
        <w:rPr>
          <w:rFonts w:eastAsia="Times New Roman" w:cstheme="minorHAnsi"/>
          <w:b/>
          <w:sz w:val="24"/>
          <w:lang w:eastAsia="hr-HR"/>
        </w:rPr>
        <w:t>REPUBLIKA HRVATSKA</w:t>
      </w:r>
    </w:p>
    <w:p w14:paraId="21957636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ŽUPANIJSKA UPRAVA ZA CESTE</w:t>
      </w:r>
    </w:p>
    <w:p w14:paraId="7DE4B0CF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PRIMORSKO-GORANSKE ŽUPANIJE</w:t>
      </w:r>
    </w:p>
    <w:p w14:paraId="495FE212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Rijeka, Nikole Tesle 9/X</w:t>
      </w:r>
    </w:p>
    <w:p w14:paraId="5FDF7118" w14:textId="4BCAD1CE" w:rsidR="003512DB" w:rsidRPr="006B1AEE" w:rsidRDefault="006B1AEE" w:rsidP="003512DB">
      <w:pPr>
        <w:spacing w:before="240" w:after="0" w:line="240" w:lineRule="auto"/>
        <w:rPr>
          <w:rFonts w:cstheme="minorHAnsi"/>
        </w:rPr>
      </w:pPr>
      <w:r w:rsidRPr="006B1AEE">
        <w:rPr>
          <w:rFonts w:cstheme="minorHAnsi"/>
        </w:rPr>
        <w:t>KLASA: 400-02/24-01/</w:t>
      </w:r>
      <w:r w:rsidR="002C3B5A">
        <w:rPr>
          <w:rFonts w:cstheme="minorHAnsi"/>
        </w:rPr>
        <w:t>5</w:t>
      </w:r>
    </w:p>
    <w:p w14:paraId="1A0283E8" w14:textId="6E7FC2D3" w:rsidR="003512DB" w:rsidRPr="006B1AEE" w:rsidRDefault="003512DB" w:rsidP="003512DB">
      <w:pPr>
        <w:spacing w:after="0" w:line="240" w:lineRule="auto"/>
        <w:rPr>
          <w:rFonts w:cstheme="minorHAnsi"/>
        </w:rPr>
      </w:pPr>
      <w:r w:rsidRPr="006B1AEE">
        <w:rPr>
          <w:rFonts w:cstheme="minorHAnsi"/>
        </w:rPr>
        <w:t xml:space="preserve">URBROJ: </w:t>
      </w:r>
      <w:r w:rsidR="002C3B5A">
        <w:rPr>
          <w:rFonts w:cstheme="minorHAnsi"/>
        </w:rPr>
        <w:t>2170-48-01/03-25-3</w:t>
      </w:r>
    </w:p>
    <w:p w14:paraId="0C9C44D0" w14:textId="00FD83BA" w:rsidR="003512DB" w:rsidRPr="006B1AEE" w:rsidRDefault="003512DB" w:rsidP="003512DB">
      <w:pPr>
        <w:spacing w:before="120" w:after="120" w:line="240" w:lineRule="auto"/>
        <w:rPr>
          <w:rFonts w:cstheme="minorHAnsi"/>
        </w:rPr>
      </w:pPr>
      <w:r w:rsidRPr="006B1AEE">
        <w:rPr>
          <w:rFonts w:cstheme="minorHAnsi"/>
        </w:rPr>
        <w:t>Rijeka</w:t>
      </w:r>
      <w:r w:rsidR="0034324F" w:rsidRPr="006B1AEE">
        <w:rPr>
          <w:rFonts w:cstheme="minorHAnsi"/>
        </w:rPr>
        <w:t xml:space="preserve">, </w:t>
      </w:r>
      <w:r w:rsidR="002C3B5A">
        <w:rPr>
          <w:rFonts w:cstheme="minorHAnsi"/>
        </w:rPr>
        <w:t>31.07.2025.</w:t>
      </w:r>
      <w:r w:rsidR="006B1AEE" w:rsidRPr="006B1AEE">
        <w:rPr>
          <w:rFonts w:cstheme="minorHAnsi"/>
        </w:rPr>
        <w:t xml:space="preserve"> godine</w:t>
      </w:r>
    </w:p>
    <w:p w14:paraId="4145CAE2" w14:textId="77777777" w:rsidR="00474E7C" w:rsidRPr="00C77F42" w:rsidRDefault="00474E7C" w:rsidP="00C77F42">
      <w:pPr>
        <w:spacing w:line="259" w:lineRule="auto"/>
        <w:rPr>
          <w:rFonts w:eastAsia="Calibri" w:cstheme="minorHAnsi"/>
        </w:rPr>
      </w:pPr>
    </w:p>
    <w:p w14:paraId="2D8520D6" w14:textId="77777777" w:rsidR="00474E7C" w:rsidRPr="00C77F42" w:rsidRDefault="00474E7C" w:rsidP="00C77F42">
      <w:pPr>
        <w:spacing w:line="259" w:lineRule="auto"/>
        <w:rPr>
          <w:rFonts w:eastAsia="Calibri" w:cstheme="minorHAnsi"/>
        </w:rPr>
      </w:pPr>
    </w:p>
    <w:p w14:paraId="67497853" w14:textId="77777777" w:rsidR="00474E7C" w:rsidRDefault="00474E7C" w:rsidP="00C77F42">
      <w:pPr>
        <w:spacing w:line="259" w:lineRule="auto"/>
        <w:rPr>
          <w:rFonts w:eastAsia="Calibri" w:cstheme="minorHAnsi"/>
        </w:rPr>
      </w:pPr>
    </w:p>
    <w:p w14:paraId="22CE145E" w14:textId="77777777" w:rsidR="00C77F42" w:rsidRDefault="00C77F42" w:rsidP="00C77F42">
      <w:pPr>
        <w:spacing w:line="259" w:lineRule="auto"/>
        <w:rPr>
          <w:rFonts w:eastAsia="Calibri" w:cstheme="minorHAnsi"/>
        </w:rPr>
      </w:pPr>
    </w:p>
    <w:p w14:paraId="56F03137" w14:textId="77777777" w:rsidR="00C77F42" w:rsidRDefault="00C77F42" w:rsidP="00C77F42">
      <w:pPr>
        <w:spacing w:line="259" w:lineRule="auto"/>
        <w:rPr>
          <w:rFonts w:eastAsia="Calibri" w:cstheme="minorHAnsi"/>
        </w:rPr>
      </w:pPr>
    </w:p>
    <w:p w14:paraId="7BCC924A" w14:textId="77777777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PRIJEDLOG</w:t>
      </w:r>
    </w:p>
    <w:p w14:paraId="72151611" w14:textId="5D7FF21D" w:rsidR="00474E7C" w:rsidRPr="00474E7C" w:rsidRDefault="00BD75E3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>
        <w:rPr>
          <w:rFonts w:eastAsia="Calibri" w:cstheme="minorHAnsi"/>
          <w:b/>
          <w:sz w:val="40"/>
          <w:szCs w:val="40"/>
        </w:rPr>
        <w:t>POLU</w:t>
      </w:r>
      <w:r w:rsidR="00AF6F11">
        <w:rPr>
          <w:rFonts w:eastAsia="Calibri" w:cstheme="minorHAnsi"/>
          <w:b/>
          <w:sz w:val="40"/>
          <w:szCs w:val="40"/>
        </w:rPr>
        <w:t>GODIŠNJEG</w:t>
      </w:r>
      <w:r w:rsidR="00474E7C" w:rsidRPr="00474E7C">
        <w:rPr>
          <w:rFonts w:eastAsia="Calibri" w:cstheme="minorHAnsi"/>
          <w:b/>
          <w:sz w:val="40"/>
          <w:szCs w:val="40"/>
        </w:rPr>
        <w:t xml:space="preserve"> IZVJEŠTAJA O IZVRŠENJU</w:t>
      </w:r>
    </w:p>
    <w:p w14:paraId="2DFC8DAD" w14:textId="64D54E3A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FINANCIJSKOG PLANA</w:t>
      </w:r>
    </w:p>
    <w:p w14:paraId="4CD3F74B" w14:textId="6626E40E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ŽUPANIJSKE UPRAVE ZA CESTE</w:t>
      </w:r>
    </w:p>
    <w:p w14:paraId="7AC2E317" w14:textId="7D07D6E2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PRIMORSKO-GORANSKE ŽUPANIJE</w:t>
      </w:r>
    </w:p>
    <w:p w14:paraId="218EEA4F" w14:textId="2E7A67DA" w:rsidR="00474E7C" w:rsidRPr="00474E7C" w:rsidRDefault="00621D7E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>
        <w:rPr>
          <w:rFonts w:eastAsia="Calibri" w:cstheme="minorHAnsi"/>
          <w:b/>
          <w:sz w:val="40"/>
          <w:szCs w:val="40"/>
        </w:rPr>
        <w:t>ZA 202</w:t>
      </w:r>
      <w:r w:rsidR="002C3B5A">
        <w:rPr>
          <w:rFonts w:eastAsia="Calibri" w:cstheme="minorHAnsi"/>
          <w:b/>
          <w:sz w:val="40"/>
          <w:szCs w:val="40"/>
        </w:rPr>
        <w:t>5</w:t>
      </w:r>
      <w:r w:rsidR="00474E7C" w:rsidRPr="00474E7C">
        <w:rPr>
          <w:rFonts w:eastAsia="Calibri" w:cstheme="minorHAnsi"/>
          <w:b/>
          <w:sz w:val="40"/>
          <w:szCs w:val="40"/>
        </w:rPr>
        <w:t>. GODINU</w:t>
      </w:r>
    </w:p>
    <w:p w14:paraId="704B5A18" w14:textId="77777777" w:rsidR="001401C2" w:rsidRDefault="001401C2" w:rsidP="001C2B90"/>
    <w:p w14:paraId="5A113901" w14:textId="77777777" w:rsidR="00474E7C" w:rsidRDefault="00474E7C" w:rsidP="001C2B90"/>
    <w:p w14:paraId="61C4CAC8" w14:textId="77777777" w:rsidR="00474E7C" w:rsidRDefault="00474E7C" w:rsidP="001C2B90"/>
    <w:p w14:paraId="55A43851" w14:textId="77777777" w:rsidR="00474E7C" w:rsidRDefault="00474E7C" w:rsidP="001C2B90"/>
    <w:p w14:paraId="18115737" w14:textId="77777777" w:rsidR="00474E7C" w:rsidRDefault="00474E7C" w:rsidP="001C2B90"/>
    <w:p w14:paraId="6C4BA003" w14:textId="77777777" w:rsidR="00474E7C" w:rsidRDefault="00474E7C" w:rsidP="001C2B90"/>
    <w:p w14:paraId="2C46746C" w14:textId="77777777" w:rsidR="00474E7C" w:rsidRDefault="00474E7C" w:rsidP="001C2B90"/>
    <w:p w14:paraId="25ED2B47" w14:textId="77777777" w:rsidR="00474E7C" w:rsidRDefault="00474E7C" w:rsidP="001C2B90"/>
    <w:p w14:paraId="16A206AE" w14:textId="77777777" w:rsidR="00474E7C" w:rsidRDefault="00474E7C" w:rsidP="001C2B90"/>
    <w:p w14:paraId="352B0458" w14:textId="77777777" w:rsidR="00984AE8" w:rsidRDefault="00984AE8" w:rsidP="00C77F42">
      <w:pPr>
        <w:sectPr w:rsidR="00984AE8" w:rsidSect="0040262A">
          <w:footerReference w:type="default" r:id="rId9"/>
          <w:pgSz w:w="11906" w:h="16838" w:code="9"/>
          <w:pgMar w:top="1134" w:right="1134" w:bottom="1134" w:left="1134" w:header="567" w:footer="284" w:gutter="0"/>
          <w:pgNumType w:start="1"/>
          <w:cols w:space="708"/>
          <w:titlePg/>
          <w:docGrid w:linePitch="360"/>
        </w:sectPr>
      </w:pPr>
    </w:p>
    <w:sdt>
      <w:sdtPr>
        <w:rPr>
          <w:rFonts w:eastAsiaTheme="minorHAnsi" w:cstheme="minorBidi"/>
          <w:b w:val="0"/>
          <w:sz w:val="22"/>
          <w:szCs w:val="22"/>
          <w:lang w:eastAsia="en-US"/>
        </w:rPr>
        <w:id w:val="22233599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DDB64BD" w14:textId="5AC49190" w:rsidR="000B3A72" w:rsidRDefault="000B3A72" w:rsidP="00EC6EAF">
          <w:pPr>
            <w:pStyle w:val="TOCNaslov"/>
            <w:numPr>
              <w:ilvl w:val="0"/>
              <w:numId w:val="0"/>
            </w:numPr>
          </w:pPr>
          <w:r w:rsidRPr="00F715E9">
            <w:t>SADRŽAJ</w:t>
          </w:r>
        </w:p>
        <w:p w14:paraId="1EDC8930" w14:textId="77777777" w:rsidR="00F2601B" w:rsidRDefault="00C84EB4">
          <w:pPr>
            <w:pStyle w:val="Sadraj1"/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04162362" w:history="1">
            <w:r w:rsidR="00F2601B" w:rsidRPr="001B4AB8">
              <w:rPr>
                <w:rStyle w:val="Hiperveza"/>
                <w:noProof/>
              </w:rPr>
              <w:t>1. OPĆI DIO POLUGODIŠNJEG IZVJEŠTAJA O IZVRŠENJU FINANCIJSKOG PLANA</w:t>
            </w:r>
            <w:r w:rsidR="00F2601B">
              <w:rPr>
                <w:noProof/>
                <w:webHidden/>
              </w:rPr>
              <w:tab/>
            </w:r>
            <w:r w:rsidR="00F2601B">
              <w:rPr>
                <w:noProof/>
                <w:webHidden/>
              </w:rPr>
              <w:fldChar w:fldCharType="begin"/>
            </w:r>
            <w:r w:rsidR="00F2601B">
              <w:rPr>
                <w:noProof/>
                <w:webHidden/>
              </w:rPr>
              <w:instrText xml:space="preserve"> PAGEREF _Toc204162362 \h </w:instrText>
            </w:r>
            <w:r w:rsidR="00F2601B">
              <w:rPr>
                <w:noProof/>
                <w:webHidden/>
              </w:rPr>
            </w:r>
            <w:r w:rsidR="00F2601B">
              <w:rPr>
                <w:noProof/>
                <w:webHidden/>
              </w:rPr>
              <w:fldChar w:fldCharType="separate"/>
            </w:r>
            <w:r w:rsidR="00F2601B">
              <w:rPr>
                <w:noProof/>
                <w:webHidden/>
              </w:rPr>
              <w:t>4</w:t>
            </w:r>
            <w:r w:rsidR="00F2601B">
              <w:rPr>
                <w:noProof/>
                <w:webHidden/>
              </w:rPr>
              <w:fldChar w:fldCharType="end"/>
            </w:r>
          </w:hyperlink>
        </w:p>
        <w:p w14:paraId="0D87BADA" w14:textId="77777777" w:rsidR="00F2601B" w:rsidRDefault="00F2601B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162363" w:history="1">
            <w:r w:rsidRPr="001B4AB8">
              <w:rPr>
                <w:rStyle w:val="Hiperveza"/>
                <w:noProof/>
              </w:rPr>
              <w:t>1.1. SAŽETAK RAČUNA PRIHODA I RASHODA I RAČUNA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7EA74" w14:textId="77777777" w:rsidR="00F2601B" w:rsidRDefault="00F2601B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162364" w:history="1">
            <w:r w:rsidRPr="001B4AB8">
              <w:rPr>
                <w:rStyle w:val="Hiperveza"/>
                <w:noProof/>
              </w:rPr>
              <w:t>1.2. RAČUN PRIHODA I RASHODA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A32E4" w14:textId="77777777" w:rsidR="00F2601B" w:rsidRDefault="00F2601B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04162365" w:history="1">
            <w:r w:rsidRPr="001B4AB8">
              <w:rPr>
                <w:rStyle w:val="Hiperveza"/>
                <w:noProof/>
              </w:rPr>
              <w:t>1.2.1. IZVJEŠTAJ O PRIHODIMA I RASHODIMA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F2B00" w14:textId="77777777" w:rsidR="00F2601B" w:rsidRDefault="00F2601B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162366" w:history="1">
            <w:r w:rsidRPr="001B4AB8">
              <w:rPr>
                <w:rStyle w:val="Hiperveza"/>
                <w:noProof/>
              </w:rPr>
              <w:t>1.3. RAČUN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14E21" w14:textId="77777777" w:rsidR="00F2601B" w:rsidRDefault="00F2601B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04162367" w:history="1">
            <w:r w:rsidRPr="001B4AB8">
              <w:rPr>
                <w:rStyle w:val="Hiperveza"/>
                <w:noProof/>
              </w:rPr>
              <w:t>1.3.1. IZVJEŠTAJ RAČUNA FINANCIRANJA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F2B7E" w14:textId="77777777" w:rsidR="00F2601B" w:rsidRDefault="00F2601B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04162368" w:history="1">
            <w:r w:rsidRPr="001B4AB8">
              <w:rPr>
                <w:rStyle w:val="Hiperveza"/>
                <w:noProof/>
              </w:rPr>
              <w:t>2. POSEBNI DIO POLUGODIŠNJEG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46302" w14:textId="77777777" w:rsidR="00F2601B" w:rsidRDefault="00F2601B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162369" w:history="1">
            <w:r w:rsidRPr="001B4AB8">
              <w:rPr>
                <w:rStyle w:val="Hiperveza"/>
                <w:noProof/>
              </w:rPr>
              <w:t>2.1. IZVJEŠTAJ O IZVRŠENJU FINANCIJSKOG PLANA PO PROGRAMSKOJ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6FC3A" w14:textId="77777777" w:rsidR="00F2601B" w:rsidRDefault="00F2601B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04162370" w:history="1">
            <w:r w:rsidRPr="001B4AB8">
              <w:rPr>
                <w:rStyle w:val="Hiperveza"/>
                <w:noProof/>
              </w:rPr>
              <w:t>3. OBRAZLOŽENJE POLUGODIŠNJEG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6EEE6" w14:textId="77777777" w:rsidR="00F2601B" w:rsidRDefault="00F2601B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162371" w:history="1">
            <w:r w:rsidRPr="001B4AB8">
              <w:rPr>
                <w:rStyle w:val="Hiperveza"/>
                <w:noProof/>
              </w:rPr>
              <w:t>3.1. OBRAZLOŽENJE OPĆEG DIJELA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7BF60" w14:textId="77777777" w:rsidR="00F2601B" w:rsidRDefault="00F2601B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04162372" w:history="1">
            <w:r w:rsidRPr="001B4AB8">
              <w:rPr>
                <w:rStyle w:val="Hiperveza"/>
                <w:noProof/>
              </w:rPr>
              <w:t>3.1.1. OBRAZLOŽENJE OSTVARENJA PRIHODA I PRIMITAKA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5AD33" w14:textId="77777777" w:rsidR="00F2601B" w:rsidRDefault="00F2601B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04162373" w:history="1">
            <w:r w:rsidRPr="001B4AB8">
              <w:rPr>
                <w:rStyle w:val="Hiperveza"/>
                <w:noProof/>
              </w:rPr>
              <w:t>3.1.1.1. PRIHODI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269DF" w14:textId="77777777" w:rsidR="00F2601B" w:rsidRDefault="00F2601B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04162374" w:history="1">
            <w:r w:rsidRPr="001B4AB8">
              <w:rPr>
                <w:rStyle w:val="Hiperveza"/>
                <w:noProof/>
              </w:rPr>
              <w:t>3.1.1.2. PRIHODI OD PRODAJE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48307" w14:textId="77777777" w:rsidR="00F2601B" w:rsidRDefault="00F2601B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04162375" w:history="1">
            <w:r w:rsidRPr="001B4AB8">
              <w:rPr>
                <w:rStyle w:val="Hiperveza"/>
                <w:noProof/>
              </w:rPr>
              <w:t>3.1.1.3. PRIMICI OD FINANCIJSKE IMOVINE I ZADUŽIVANJA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3766B" w14:textId="77777777" w:rsidR="00F2601B" w:rsidRDefault="00F2601B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04162376" w:history="1">
            <w:r w:rsidRPr="001B4AB8">
              <w:rPr>
                <w:rStyle w:val="Hiperveza"/>
                <w:noProof/>
              </w:rPr>
              <w:t>3.1.2. OBRAZLOŽENJE IZVRŠENJA RASHODA I IZDATAKA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2964D" w14:textId="77777777" w:rsidR="00F2601B" w:rsidRDefault="00F2601B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04162377" w:history="1">
            <w:r w:rsidRPr="001B4AB8">
              <w:rPr>
                <w:rStyle w:val="Hiperveza"/>
                <w:noProof/>
              </w:rPr>
              <w:t>3.1.2.1. RASHODI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CE0FC" w14:textId="77777777" w:rsidR="00F2601B" w:rsidRDefault="00F2601B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04162378" w:history="1">
            <w:r w:rsidRPr="001B4AB8">
              <w:rPr>
                <w:rStyle w:val="Hiperveza"/>
                <w:noProof/>
              </w:rPr>
              <w:t>3.1.2.2. RASHODI ZA NABAVU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01BA7" w14:textId="77777777" w:rsidR="00F2601B" w:rsidRDefault="00F2601B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04162379" w:history="1">
            <w:r w:rsidRPr="001B4AB8">
              <w:rPr>
                <w:rStyle w:val="Hiperveza"/>
                <w:noProof/>
              </w:rPr>
              <w:t>3.1.2.3. IZDACI ZA FINANCIJSKU IMOVINU I OTPLATE ZAJMOVA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1DC77" w14:textId="77777777" w:rsidR="00F2601B" w:rsidRDefault="00F2601B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04162380" w:history="1">
            <w:r w:rsidRPr="001B4AB8">
              <w:rPr>
                <w:rStyle w:val="Hiperveza"/>
                <w:noProof/>
              </w:rPr>
              <w:t>4. POSEBNI IZVJEŠTAJI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39261" w14:textId="77777777" w:rsidR="00F2601B" w:rsidRDefault="00F2601B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162381" w:history="1">
            <w:r w:rsidRPr="001B4AB8">
              <w:rPr>
                <w:rStyle w:val="Hiperveza"/>
                <w:noProof/>
              </w:rPr>
              <w:t>4.1. IZVJEŠTAJ O ZADUŽIVANJU NA DOMAĆEM TRŽIŠTU NOVCA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36237" w14:textId="77777777" w:rsidR="00F2601B" w:rsidRDefault="00F2601B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04162382" w:history="1">
            <w:r w:rsidRPr="001B4AB8">
              <w:rPr>
                <w:rStyle w:val="Hiperveza"/>
                <w:noProof/>
              </w:rPr>
              <w:t>5. POPIS TABLICA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B9CB0" w14:textId="77777777" w:rsidR="00F2601B" w:rsidRDefault="00F2601B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04162383" w:history="1">
            <w:r w:rsidRPr="001B4AB8">
              <w:rPr>
                <w:rStyle w:val="Hiperveza"/>
                <w:noProof/>
              </w:rPr>
              <w:t>6. POPIS GRAFIKONA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_Toc204162383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24AB1" w14:textId="5357D6F9" w:rsidR="000B3A72" w:rsidRDefault="00C84EB4" w:rsidP="000B3A72">
          <w:r>
            <w:fldChar w:fldCharType="end"/>
          </w:r>
        </w:p>
      </w:sdtContent>
    </w:sdt>
    <w:p w14:paraId="5BBADB26" w14:textId="2BD84C4D" w:rsidR="005B0740" w:rsidRDefault="005B0740">
      <w:pPr>
        <w:spacing w:line="259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br w:type="page"/>
      </w:r>
      <w:bookmarkStart w:id="0" w:name="_GoBack"/>
      <w:bookmarkEnd w:id="0"/>
    </w:p>
    <w:p w14:paraId="7E941198" w14:textId="773B2868" w:rsidR="000B3A72" w:rsidRDefault="000D11E2" w:rsidP="000B3A72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lastRenderedPageBreak/>
        <w:t>Na temelju odredbi članka 87</w:t>
      </w:r>
      <w:r w:rsidR="000B3A72" w:rsidRPr="00CD5B87">
        <w:rPr>
          <w:rFonts w:eastAsia="Times New Roman" w:cstheme="minorHAnsi"/>
          <w:bCs/>
          <w:lang w:eastAsia="hr-HR"/>
        </w:rPr>
        <w:t xml:space="preserve">. Zakona </w:t>
      </w:r>
      <w:r w:rsidR="000E522A">
        <w:rPr>
          <w:rFonts w:eastAsia="Times New Roman" w:cstheme="minorHAnsi"/>
          <w:bCs/>
          <w:lang w:eastAsia="hr-HR"/>
        </w:rPr>
        <w:t>o proračunu („</w:t>
      </w:r>
      <w:r w:rsidR="000B3A72" w:rsidRPr="00CD5B87">
        <w:rPr>
          <w:rFonts w:eastAsia="Times New Roman" w:cstheme="minorHAnsi"/>
          <w:bCs/>
          <w:lang w:eastAsia="hr-HR"/>
        </w:rPr>
        <w:t>Narodn</w:t>
      </w:r>
      <w:r w:rsidR="00C03D88">
        <w:rPr>
          <w:rFonts w:eastAsia="Times New Roman" w:cstheme="minorHAnsi"/>
          <w:bCs/>
          <w:lang w:eastAsia="hr-HR"/>
        </w:rPr>
        <w:t>e novine“</w:t>
      </w:r>
      <w:r w:rsidR="00F67C84">
        <w:rPr>
          <w:rFonts w:eastAsia="Times New Roman" w:cstheme="minorHAnsi"/>
          <w:bCs/>
          <w:lang w:eastAsia="hr-HR"/>
        </w:rPr>
        <w:t xml:space="preserve">, broj </w:t>
      </w:r>
      <w:r w:rsidR="00EE2862">
        <w:rPr>
          <w:rFonts w:eastAsia="Times New Roman" w:cstheme="minorHAnsi"/>
          <w:bCs/>
          <w:lang w:eastAsia="hr-HR"/>
        </w:rPr>
        <w:t>144/21</w:t>
      </w:r>
      <w:r w:rsidR="000B3A72" w:rsidRPr="00CD5B87">
        <w:rPr>
          <w:rFonts w:eastAsia="Times New Roman" w:cstheme="minorHAnsi"/>
          <w:bCs/>
          <w:lang w:eastAsia="hr-HR"/>
        </w:rPr>
        <w:t xml:space="preserve">), </w:t>
      </w:r>
      <w:r w:rsidR="000B3A72" w:rsidRPr="00AB4D6C">
        <w:rPr>
          <w:rFonts w:eastAsia="Times New Roman" w:cstheme="minorHAnsi"/>
          <w:bCs/>
          <w:lang w:eastAsia="hr-HR"/>
        </w:rPr>
        <w:t xml:space="preserve">članka </w:t>
      </w:r>
      <w:r w:rsidR="00AB4D6C" w:rsidRPr="00AB4D6C">
        <w:rPr>
          <w:rFonts w:eastAsia="Times New Roman" w:cstheme="minorHAnsi"/>
          <w:bCs/>
          <w:lang w:eastAsia="hr-HR"/>
        </w:rPr>
        <w:t>53</w:t>
      </w:r>
      <w:r w:rsidR="00802433">
        <w:rPr>
          <w:rFonts w:eastAsia="Times New Roman" w:cstheme="minorHAnsi"/>
          <w:bCs/>
          <w:lang w:eastAsia="hr-HR"/>
        </w:rPr>
        <w:t>. stavka 3</w:t>
      </w:r>
      <w:r w:rsidR="000B3A72" w:rsidRPr="00AB4D6C">
        <w:rPr>
          <w:rFonts w:eastAsia="Times New Roman" w:cstheme="minorHAnsi"/>
          <w:bCs/>
          <w:lang w:eastAsia="hr-HR"/>
        </w:rPr>
        <w:t>. Pravilnika o polugodišnjem i godišnjem izv</w:t>
      </w:r>
      <w:r w:rsidR="000E522A" w:rsidRPr="00AB4D6C">
        <w:rPr>
          <w:rFonts w:eastAsia="Times New Roman" w:cstheme="minorHAnsi"/>
          <w:bCs/>
          <w:lang w:eastAsia="hr-HR"/>
        </w:rPr>
        <w:t>ještaju o izvršenju proračuna</w:t>
      </w:r>
      <w:r w:rsidR="00802433">
        <w:rPr>
          <w:rFonts w:eastAsia="Times New Roman" w:cstheme="minorHAnsi"/>
          <w:bCs/>
          <w:lang w:eastAsia="hr-HR"/>
        </w:rPr>
        <w:t xml:space="preserve"> i financijskog plana</w:t>
      </w:r>
      <w:r w:rsidR="000E522A" w:rsidRPr="00AB4D6C">
        <w:rPr>
          <w:rFonts w:eastAsia="Times New Roman" w:cstheme="minorHAnsi"/>
          <w:bCs/>
          <w:lang w:eastAsia="hr-HR"/>
        </w:rPr>
        <w:t xml:space="preserve"> („</w:t>
      </w:r>
      <w:r w:rsidR="00C03D88">
        <w:rPr>
          <w:rFonts w:eastAsia="Times New Roman" w:cstheme="minorHAnsi"/>
          <w:bCs/>
          <w:lang w:eastAsia="hr-HR"/>
        </w:rPr>
        <w:t>Narodne novine“</w:t>
      </w:r>
      <w:r w:rsidR="000B3A72" w:rsidRPr="00AB4D6C">
        <w:rPr>
          <w:rFonts w:eastAsia="Times New Roman" w:cstheme="minorHAnsi"/>
          <w:bCs/>
          <w:lang w:eastAsia="hr-HR"/>
        </w:rPr>
        <w:t xml:space="preserve">, broj </w:t>
      </w:r>
      <w:r w:rsidR="00AB4D6C" w:rsidRPr="00AB4D6C">
        <w:rPr>
          <w:rFonts w:eastAsia="Times New Roman" w:cstheme="minorHAnsi"/>
          <w:bCs/>
          <w:lang w:eastAsia="hr-HR"/>
        </w:rPr>
        <w:t>85/23</w:t>
      </w:r>
      <w:r w:rsidR="00EE2862" w:rsidRPr="00AB4D6C">
        <w:rPr>
          <w:rFonts w:eastAsia="Times New Roman" w:cstheme="minorHAnsi"/>
          <w:bCs/>
          <w:lang w:eastAsia="hr-HR"/>
        </w:rPr>
        <w:t>)</w:t>
      </w:r>
      <w:r w:rsidR="007A69F8" w:rsidRPr="00AB4D6C">
        <w:rPr>
          <w:rFonts w:eastAsia="Times New Roman" w:cstheme="minorHAnsi"/>
          <w:bCs/>
          <w:lang w:eastAsia="hr-HR"/>
        </w:rPr>
        <w:t xml:space="preserve">, </w:t>
      </w:r>
      <w:r w:rsidR="00EE2862">
        <w:rPr>
          <w:rFonts w:eastAsia="Times New Roman" w:cstheme="minorHAnsi"/>
          <w:bCs/>
          <w:lang w:eastAsia="hr-HR"/>
        </w:rPr>
        <w:t>te</w:t>
      </w:r>
      <w:r w:rsidR="00EE2862">
        <w:rPr>
          <w:rFonts w:cstheme="minorHAnsi"/>
          <w:bCs/>
        </w:rPr>
        <w:t xml:space="preserve"> </w:t>
      </w:r>
      <w:r w:rsidR="00EE2862" w:rsidRPr="0051206B">
        <w:rPr>
          <w:rFonts w:cstheme="minorHAnsi"/>
          <w:bCs/>
        </w:rPr>
        <w:t>članka 19. stavka 1. Statut</w:t>
      </w:r>
      <w:r w:rsidR="00EE2862">
        <w:rPr>
          <w:rFonts w:cstheme="minorHAnsi"/>
          <w:bCs/>
        </w:rPr>
        <w:t>a</w:t>
      </w:r>
      <w:r w:rsidR="00EE2862" w:rsidRPr="0051206B">
        <w:rPr>
          <w:rFonts w:cstheme="minorHAnsi"/>
          <w:bCs/>
        </w:rPr>
        <w:t xml:space="preserve"> Županijske uprave za ceste Primorsko-goranske županije </w:t>
      </w:r>
      <w:r w:rsidR="00F67C84" w:rsidRPr="0051206B">
        <w:rPr>
          <w:rFonts w:cstheme="minorHAnsi"/>
          <w:bCs/>
        </w:rPr>
        <w:t>(</w:t>
      </w:r>
      <w:r w:rsidR="00F67C84">
        <w:t xml:space="preserve">KLASA: 023-01/06-01/1, URBROJ: 2170-04-11-6-1 od 23.02.2006. godine; KLASA: 023-01/06-01/1, URBROJ: 2170-04-11-10-01 od 23.02.2010. godine; KLASA: 023-01/06-01, URBROJ: 2170-04-11-15-1 od 08.04.2015. godine – pročišćeni tekst i KLASA: 025-01/22-02/20, URBROJ: 2170-48-04-11-22-6 od 20.12.2022. godine), </w:t>
      </w:r>
      <w:r w:rsidR="000B3A72" w:rsidRPr="00CD5B87">
        <w:rPr>
          <w:rFonts w:eastAsia="Times New Roman" w:cstheme="minorHAnsi"/>
          <w:bCs/>
          <w:lang w:eastAsia="hr-HR"/>
        </w:rPr>
        <w:t xml:space="preserve">Upravno vijeće Županijske uprave za ceste Primorsko-goranske županije </w:t>
      </w:r>
      <w:r w:rsidR="000B3A72" w:rsidRPr="00802433">
        <w:rPr>
          <w:rFonts w:eastAsia="Times New Roman" w:cstheme="minorHAnsi"/>
          <w:bCs/>
          <w:lang w:eastAsia="hr-HR"/>
        </w:rPr>
        <w:t xml:space="preserve">utvrdilo je na </w:t>
      </w:r>
      <w:r w:rsidR="00EE6CE1">
        <w:rPr>
          <w:rFonts w:eastAsia="Times New Roman" w:cstheme="minorHAnsi"/>
          <w:bCs/>
          <w:lang w:eastAsia="hr-HR"/>
        </w:rPr>
        <w:t>65</w:t>
      </w:r>
      <w:r w:rsidR="00FD1991" w:rsidRPr="00802433">
        <w:rPr>
          <w:rFonts w:eastAsia="Times New Roman" w:cstheme="minorHAnsi"/>
          <w:bCs/>
          <w:lang w:eastAsia="hr-HR"/>
        </w:rPr>
        <w:t xml:space="preserve">. sjednici Upravnog vijeća dana </w:t>
      </w:r>
      <w:r w:rsidR="00EE6CE1">
        <w:rPr>
          <w:rFonts w:eastAsia="Times New Roman" w:cstheme="minorHAnsi"/>
          <w:bCs/>
          <w:lang w:eastAsia="hr-HR"/>
        </w:rPr>
        <w:t>31</w:t>
      </w:r>
      <w:r w:rsidR="00FD1991" w:rsidRPr="00802433">
        <w:rPr>
          <w:rFonts w:eastAsia="Times New Roman" w:cstheme="minorHAnsi"/>
          <w:bCs/>
          <w:lang w:eastAsia="hr-HR"/>
        </w:rPr>
        <w:t>.0</w:t>
      </w:r>
      <w:r w:rsidR="00802433" w:rsidRPr="00802433">
        <w:rPr>
          <w:rFonts w:eastAsia="Times New Roman" w:cstheme="minorHAnsi"/>
          <w:bCs/>
          <w:lang w:eastAsia="hr-HR"/>
        </w:rPr>
        <w:t>7</w:t>
      </w:r>
      <w:r w:rsidR="00FD1991" w:rsidRPr="00802433">
        <w:rPr>
          <w:rFonts w:eastAsia="Times New Roman" w:cstheme="minorHAnsi"/>
          <w:bCs/>
          <w:lang w:eastAsia="hr-HR"/>
        </w:rPr>
        <w:t>.202</w:t>
      </w:r>
      <w:r w:rsidR="00EE6CE1">
        <w:rPr>
          <w:rFonts w:eastAsia="Times New Roman" w:cstheme="minorHAnsi"/>
          <w:bCs/>
          <w:lang w:eastAsia="hr-HR"/>
        </w:rPr>
        <w:t>5</w:t>
      </w:r>
      <w:r w:rsidR="00FD1991" w:rsidRPr="00802433">
        <w:rPr>
          <w:rFonts w:eastAsia="Times New Roman" w:cstheme="minorHAnsi"/>
          <w:bCs/>
          <w:lang w:eastAsia="hr-HR"/>
        </w:rPr>
        <w:t xml:space="preserve">. </w:t>
      </w:r>
      <w:r w:rsidR="000B3A72" w:rsidRPr="00802433">
        <w:rPr>
          <w:rFonts w:eastAsia="Times New Roman" w:cstheme="minorHAnsi"/>
          <w:bCs/>
          <w:lang w:eastAsia="hr-HR"/>
        </w:rPr>
        <w:t>godine sljedeći:</w:t>
      </w:r>
    </w:p>
    <w:p w14:paraId="4A883F44" w14:textId="77777777" w:rsidR="00B12032" w:rsidRDefault="00DC3714" w:rsidP="00E43B53">
      <w:pPr>
        <w:pStyle w:val="Naslov"/>
      </w:pPr>
      <w:bookmarkStart w:id="1" w:name="_Toc14862478"/>
      <w:r w:rsidRPr="00DD1998">
        <w:t xml:space="preserve">PRIJEDLOG </w:t>
      </w:r>
      <w:r w:rsidR="006E3C60">
        <w:t>POLU</w:t>
      </w:r>
      <w:r w:rsidR="00F5175A" w:rsidRPr="00DD1998">
        <w:t>GODIŠNJEG</w:t>
      </w:r>
      <w:r w:rsidR="000B3A72" w:rsidRPr="00DD1998">
        <w:t xml:space="preserve"> IZVJE</w:t>
      </w:r>
      <w:r w:rsidR="00181E34" w:rsidRPr="00DD1998">
        <w:t>ŠTAJ</w:t>
      </w:r>
      <w:r w:rsidR="00A91B09" w:rsidRPr="00DD1998">
        <w:t>A</w:t>
      </w:r>
      <w:r w:rsidR="00181E34" w:rsidRPr="00DD1998">
        <w:t xml:space="preserve"> O IZVRŠENJU FINANCIJSKOG </w:t>
      </w:r>
      <w:r w:rsidR="000B3A72" w:rsidRPr="00DD1998">
        <w:t>PLANA ŽUPANIJSKE</w:t>
      </w:r>
      <w:r w:rsidR="00181E34" w:rsidRPr="00DD1998">
        <w:t xml:space="preserve"> UPRAVE ZA CESTE PRIMORSKO-</w:t>
      </w:r>
      <w:r w:rsidR="000B3A72" w:rsidRPr="00DD1998">
        <w:t>GORANSKE ŽUPANIJ</w:t>
      </w:r>
      <w:r w:rsidR="00417575" w:rsidRPr="00DD1998">
        <w:t>E</w:t>
      </w:r>
      <w:r w:rsidR="00181E34" w:rsidRPr="00DD1998">
        <w:t xml:space="preserve"> </w:t>
      </w:r>
      <w:r w:rsidR="000B3A72" w:rsidRPr="00DD1998">
        <w:t xml:space="preserve">ZA </w:t>
      </w:r>
    </w:p>
    <w:p w14:paraId="78DDEB36" w14:textId="67EFEFA3" w:rsidR="00E43B53" w:rsidRDefault="003E6AB6" w:rsidP="00E43B53">
      <w:pPr>
        <w:pStyle w:val="Naslov"/>
      </w:pPr>
      <w:r w:rsidRPr="00DD1998">
        <w:t>2</w:t>
      </w:r>
      <w:r w:rsidR="000B3A72" w:rsidRPr="00DD1998">
        <w:t>02</w:t>
      </w:r>
      <w:r w:rsidR="00EE6CE1">
        <w:t>5</w:t>
      </w:r>
      <w:r w:rsidR="000B3A72" w:rsidRPr="00DD1998">
        <w:t>.</w:t>
      </w:r>
      <w:bookmarkEnd w:id="1"/>
      <w:r w:rsidR="000B3A72" w:rsidRPr="00DD1998">
        <w:t xml:space="preserve"> GODIN</w:t>
      </w:r>
      <w:r w:rsidR="002B6355" w:rsidRPr="00DD1998">
        <w:t>U</w:t>
      </w:r>
      <w:bookmarkStart w:id="2" w:name="_Toc14862482"/>
      <w:r w:rsidR="00E43B53" w:rsidRPr="00E43B53">
        <w:t xml:space="preserve"> </w:t>
      </w:r>
    </w:p>
    <w:bookmarkEnd w:id="2"/>
    <w:p w14:paraId="748D64BA" w14:textId="1E2357BE" w:rsidR="00E43B53" w:rsidRPr="00CD5B87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Odredba</w:t>
      </w:r>
      <w:r>
        <w:rPr>
          <w:rFonts w:cstheme="minorHAnsi"/>
        </w:rPr>
        <w:t>ma članka 87. Zakona</w:t>
      </w:r>
      <w:r w:rsidRPr="00CD5B87">
        <w:rPr>
          <w:rFonts w:cstheme="minorHAnsi"/>
        </w:rPr>
        <w:t xml:space="preserve"> o proraču</w:t>
      </w:r>
      <w:r>
        <w:rPr>
          <w:rFonts w:cstheme="minorHAnsi"/>
        </w:rPr>
        <w:t>nu („</w:t>
      </w:r>
      <w:r w:rsidRPr="00CD5B87">
        <w:rPr>
          <w:rFonts w:cstheme="minorHAnsi"/>
        </w:rPr>
        <w:t>Narodne</w:t>
      </w:r>
      <w:r>
        <w:rPr>
          <w:rFonts w:cstheme="minorHAnsi"/>
        </w:rPr>
        <w:t xml:space="preserve"> novine“, broj 144/21</w:t>
      </w:r>
      <w:r w:rsidRPr="00CD5B87">
        <w:rPr>
          <w:rFonts w:cstheme="minorHAnsi"/>
        </w:rPr>
        <w:t xml:space="preserve"> – u daljnjem tekstu Zakon) i članka </w:t>
      </w:r>
      <w:r>
        <w:rPr>
          <w:rFonts w:cstheme="minorHAnsi"/>
        </w:rPr>
        <w:t>53</w:t>
      </w:r>
      <w:r w:rsidRPr="00CD5B87">
        <w:rPr>
          <w:rFonts w:cstheme="minorHAnsi"/>
        </w:rPr>
        <w:t>. Pravilnika o polugodišnjem i godišnjem izvj</w:t>
      </w:r>
      <w:r>
        <w:rPr>
          <w:rFonts w:cstheme="minorHAnsi"/>
        </w:rPr>
        <w:t>eštaju o izvršenju proračuna</w:t>
      </w:r>
      <w:r w:rsidR="00802433">
        <w:rPr>
          <w:rFonts w:cstheme="minorHAnsi"/>
        </w:rPr>
        <w:t xml:space="preserve"> i financijskog plana</w:t>
      </w:r>
      <w:r>
        <w:rPr>
          <w:rFonts w:cstheme="minorHAnsi"/>
        </w:rPr>
        <w:t xml:space="preserve"> („Narodne novine“</w:t>
      </w:r>
      <w:r w:rsidRPr="00CD5B87">
        <w:rPr>
          <w:rFonts w:cstheme="minorHAnsi"/>
        </w:rPr>
        <w:t>, br</w:t>
      </w:r>
      <w:r>
        <w:rPr>
          <w:rFonts w:cstheme="minorHAnsi"/>
        </w:rPr>
        <w:t>oj 85/23</w:t>
      </w:r>
      <w:r w:rsidRPr="00CD5B87">
        <w:rPr>
          <w:rFonts w:cstheme="minorHAnsi"/>
        </w:rPr>
        <w:t xml:space="preserve"> – u daljnjem tekstu Pravilnik</w:t>
      </w:r>
      <w:r w:rsidR="004715D5">
        <w:rPr>
          <w:rFonts w:cstheme="minorHAnsi"/>
        </w:rPr>
        <w:t>)</w:t>
      </w:r>
      <w:r>
        <w:rPr>
          <w:rFonts w:cstheme="minorHAnsi"/>
        </w:rPr>
        <w:t>,</w:t>
      </w:r>
      <w:r w:rsidRPr="00CD5B87">
        <w:rPr>
          <w:rFonts w:cstheme="minorHAnsi"/>
        </w:rPr>
        <w:t xml:space="preserve"> te</w:t>
      </w:r>
      <w:r w:rsidRPr="001C51C4">
        <w:rPr>
          <w:rFonts w:cstheme="minorHAnsi"/>
          <w:bCs/>
        </w:rPr>
        <w:t xml:space="preserve"> </w:t>
      </w:r>
      <w:r w:rsidRPr="0051206B">
        <w:rPr>
          <w:rFonts w:cstheme="minorHAnsi"/>
          <w:bCs/>
        </w:rPr>
        <w:t>članka 19. stavka 1. Statut</w:t>
      </w:r>
      <w:r>
        <w:rPr>
          <w:rFonts w:cstheme="minorHAnsi"/>
          <w:bCs/>
        </w:rPr>
        <w:t>a</w:t>
      </w:r>
      <w:r w:rsidRPr="0051206B">
        <w:rPr>
          <w:rFonts w:cstheme="minorHAnsi"/>
          <w:bCs/>
        </w:rPr>
        <w:t xml:space="preserve"> Županijske uprave za ceste Primorsko-goranske županije (</w:t>
      </w:r>
      <w:r>
        <w:t>KLASA: 023-01/06-01/1, URBROJ: 2170-04-11-6-1 od 23.02.2006. godine; KLASA: 023-01/06-01/1, URBROJ: 2170-04-11-10-01 od 23.02.2010. godine; KLASA: 023-01/06-01, URBROJ: 2170-04-11-15-1 od 08.04.2015. godine – pročišćeni tekst i KLASA: 025-01/22-02/20, URBROJ: 2170-48-04-11-22-6 od 20.12.2022. godine</w:t>
      </w:r>
      <w:r w:rsidR="004715D5">
        <w:t>)</w:t>
      </w:r>
      <w:r>
        <w:t xml:space="preserve">, </w:t>
      </w:r>
      <w:r w:rsidRPr="00CD5B87">
        <w:rPr>
          <w:rFonts w:cstheme="minorHAnsi"/>
        </w:rPr>
        <w:t xml:space="preserve">utvrđena je obveza Županijske uprave za ceste Primorsko-goranske županije da dostavi </w:t>
      </w:r>
      <w:r>
        <w:rPr>
          <w:rFonts w:cstheme="minorHAnsi"/>
        </w:rPr>
        <w:t xml:space="preserve">prijedlog </w:t>
      </w:r>
      <w:r w:rsidR="006E3C60">
        <w:rPr>
          <w:rFonts w:cstheme="minorHAnsi"/>
        </w:rPr>
        <w:t>polu</w:t>
      </w:r>
      <w:r>
        <w:rPr>
          <w:rFonts w:cstheme="minorHAnsi"/>
        </w:rPr>
        <w:t>godišnjeg</w:t>
      </w:r>
      <w:r w:rsidRPr="00CD5B87">
        <w:rPr>
          <w:rFonts w:cstheme="minorHAnsi"/>
        </w:rPr>
        <w:t xml:space="preserve"> izvještaj</w:t>
      </w:r>
      <w:r>
        <w:rPr>
          <w:rFonts w:cstheme="minorHAnsi"/>
        </w:rPr>
        <w:t>a</w:t>
      </w:r>
      <w:r w:rsidRPr="00CD5B87">
        <w:rPr>
          <w:rFonts w:cstheme="minorHAnsi"/>
        </w:rPr>
        <w:t xml:space="preserve"> o izvršenju financijskog plana</w:t>
      </w:r>
      <w:r>
        <w:rPr>
          <w:rFonts w:cstheme="minorHAnsi"/>
        </w:rPr>
        <w:t xml:space="preserve"> za razdoblje od 01.siječnja do 3</w:t>
      </w:r>
      <w:r w:rsidR="006E3C60">
        <w:rPr>
          <w:rFonts w:cstheme="minorHAnsi"/>
        </w:rPr>
        <w:t>0</w:t>
      </w:r>
      <w:r>
        <w:rPr>
          <w:rFonts w:cstheme="minorHAnsi"/>
        </w:rPr>
        <w:t xml:space="preserve">. </w:t>
      </w:r>
      <w:r w:rsidR="006E3C60">
        <w:rPr>
          <w:rFonts w:cstheme="minorHAnsi"/>
        </w:rPr>
        <w:t>lipnja</w:t>
      </w:r>
      <w:r>
        <w:rPr>
          <w:rFonts w:cstheme="minorHAnsi"/>
        </w:rPr>
        <w:t xml:space="preserve"> proračunske godine</w:t>
      </w:r>
      <w:r w:rsidRPr="00CD5B87">
        <w:rPr>
          <w:rFonts w:cstheme="minorHAnsi"/>
        </w:rPr>
        <w:t xml:space="preserve"> (prethodno utvrđen od Upravnog vijeća Županijske upra</w:t>
      </w:r>
      <w:r>
        <w:rPr>
          <w:rFonts w:cstheme="minorHAnsi"/>
        </w:rPr>
        <w:t>ve za ceste Primorsko-g</w:t>
      </w:r>
      <w:r w:rsidRPr="00CD5B87">
        <w:rPr>
          <w:rFonts w:cstheme="minorHAnsi"/>
        </w:rPr>
        <w:t>oranske županije) nadležnom upravnom odjelu Primorsko-goranske županije do 3</w:t>
      </w:r>
      <w:r>
        <w:rPr>
          <w:rFonts w:cstheme="minorHAnsi"/>
        </w:rPr>
        <w:t>1</w:t>
      </w:r>
      <w:r w:rsidRPr="00CD5B87">
        <w:rPr>
          <w:rFonts w:cstheme="minorHAnsi"/>
        </w:rPr>
        <w:t xml:space="preserve">. </w:t>
      </w:r>
      <w:r w:rsidR="006E3C60">
        <w:rPr>
          <w:rFonts w:cstheme="minorHAnsi"/>
        </w:rPr>
        <w:t>srpnja</w:t>
      </w:r>
      <w:r w:rsidRPr="00CD5B87">
        <w:rPr>
          <w:rFonts w:cstheme="minorHAnsi"/>
        </w:rPr>
        <w:t xml:space="preserve"> tekuće </w:t>
      </w:r>
      <w:r>
        <w:rPr>
          <w:rFonts w:cstheme="minorHAnsi"/>
        </w:rPr>
        <w:t xml:space="preserve">proračunske </w:t>
      </w:r>
      <w:r w:rsidRPr="00CD5B87">
        <w:rPr>
          <w:rFonts w:cstheme="minorHAnsi"/>
        </w:rPr>
        <w:t xml:space="preserve">godine. </w:t>
      </w:r>
      <w:r>
        <w:rPr>
          <w:rFonts w:cstheme="minorHAnsi"/>
        </w:rPr>
        <w:t xml:space="preserve">Prijedlog </w:t>
      </w:r>
      <w:r w:rsidR="006E3C60">
        <w:rPr>
          <w:rFonts w:cstheme="minorHAnsi"/>
        </w:rPr>
        <w:t>polu</w:t>
      </w:r>
      <w:r>
        <w:rPr>
          <w:rFonts w:cstheme="minorHAnsi"/>
        </w:rPr>
        <w:t>godišnjeg</w:t>
      </w:r>
      <w:r w:rsidRPr="00CD5B87">
        <w:rPr>
          <w:rFonts w:cstheme="minorHAnsi"/>
        </w:rPr>
        <w:t xml:space="preserve"> izvještaj</w:t>
      </w:r>
      <w:r>
        <w:rPr>
          <w:rFonts w:cstheme="minorHAnsi"/>
        </w:rPr>
        <w:t>a</w:t>
      </w:r>
      <w:r w:rsidRPr="00CD5B87">
        <w:rPr>
          <w:rFonts w:cstheme="minorHAnsi"/>
        </w:rPr>
        <w:t xml:space="preserve"> se uz prethodnu suglasnost Župana podnosi Županijskoj skupštini na razmatranje i donošenje zajedno s izvještajem o izvršenju Proračuna Županije.</w:t>
      </w:r>
    </w:p>
    <w:p w14:paraId="6F5E3711" w14:textId="0D6C8186" w:rsidR="00E43B53" w:rsidRPr="00CD5B87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Obveza i sadržaj izrade </w:t>
      </w:r>
      <w:r w:rsidR="006E3C60">
        <w:rPr>
          <w:rFonts w:cstheme="minorHAnsi"/>
        </w:rPr>
        <w:t>polu</w:t>
      </w:r>
      <w:r w:rsidRPr="00CD5B87">
        <w:rPr>
          <w:rFonts w:cstheme="minorHAnsi"/>
        </w:rPr>
        <w:t>godišnjeg izvještaja o izvršenju financijskog plana izvanproračunskih korisnika jedinica lokalne i područne (regionalne) samouprave utvrđena je Zakonom i Pravilnikom.</w:t>
      </w:r>
    </w:p>
    <w:p w14:paraId="0C737EFD" w14:textId="5AEDAF25" w:rsidR="00E43B53" w:rsidRPr="00CD5B87" w:rsidRDefault="006E3C60" w:rsidP="00E43B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Polug</w:t>
      </w:r>
      <w:r w:rsidR="00E43B53" w:rsidRPr="00CD5B87">
        <w:rPr>
          <w:rFonts w:cstheme="minorHAnsi"/>
        </w:rPr>
        <w:t>odišnji izvještaj o izvršenju financijskog plana Županijske uprave za ceste Primorsko-goranske županije sadrži:</w:t>
      </w:r>
    </w:p>
    <w:p w14:paraId="45DB7478" w14:textId="29E008F4" w:rsidR="00E43B53" w:rsidRDefault="00E43B53" w:rsidP="00E43B53">
      <w:pPr>
        <w:pStyle w:val="Odlomakpopisa"/>
        <w:numPr>
          <w:ilvl w:val="0"/>
          <w:numId w:val="2"/>
        </w:numPr>
        <w:spacing w:after="120" w:line="240" w:lineRule="auto"/>
        <w:ind w:left="714" w:hanging="714"/>
        <w:jc w:val="both"/>
        <w:rPr>
          <w:rFonts w:cstheme="minorHAnsi"/>
        </w:rPr>
      </w:pPr>
      <w:r w:rsidRPr="00922E8C">
        <w:rPr>
          <w:rFonts w:cstheme="minorHAnsi"/>
        </w:rPr>
        <w:t xml:space="preserve">Opći dio </w:t>
      </w:r>
      <w:r w:rsidR="006E3C60">
        <w:rPr>
          <w:rFonts w:cstheme="minorHAnsi"/>
        </w:rPr>
        <w:t>polu</w:t>
      </w:r>
      <w:r>
        <w:rPr>
          <w:rFonts w:cstheme="minorHAnsi"/>
        </w:rPr>
        <w:t xml:space="preserve">godišnjeg izvještaja o izvršenju financijskog plana izvanproračunskog korisnika </w:t>
      </w:r>
      <w:r w:rsidRPr="00922E8C">
        <w:rPr>
          <w:rFonts w:cstheme="minorHAnsi"/>
        </w:rPr>
        <w:t>kojeg čine:</w:t>
      </w:r>
    </w:p>
    <w:p w14:paraId="0F100127" w14:textId="20844432" w:rsidR="00E43B53" w:rsidRPr="006B1AEE" w:rsidRDefault="00E43B53" w:rsidP="00D627D3">
      <w:pPr>
        <w:numPr>
          <w:ilvl w:val="0"/>
          <w:numId w:val="1"/>
        </w:numPr>
        <w:spacing w:after="0" w:line="240" w:lineRule="auto"/>
        <w:ind w:left="369" w:hanging="142"/>
        <w:contextualSpacing/>
        <w:jc w:val="both"/>
        <w:rPr>
          <w:rFonts w:eastAsia="Calibri" w:cstheme="minorHAnsi"/>
        </w:rPr>
      </w:pPr>
      <w:r w:rsidRPr="00CD5B87">
        <w:rPr>
          <w:rFonts w:eastAsia="Calibri" w:cstheme="minorHAnsi"/>
          <w:color w:val="000000"/>
        </w:rPr>
        <w:t>Sažetak Računa prihoda i rashoda</w:t>
      </w:r>
      <w:r w:rsidR="00D627D3">
        <w:rPr>
          <w:rFonts w:eastAsia="Calibri" w:cstheme="minorHAnsi"/>
          <w:color w:val="000000"/>
        </w:rPr>
        <w:t xml:space="preserve"> i </w:t>
      </w:r>
      <w:r w:rsidRPr="00CD5B87">
        <w:rPr>
          <w:rFonts w:eastAsia="Calibri" w:cstheme="minorHAnsi"/>
          <w:color w:val="000000"/>
        </w:rPr>
        <w:t>Računa financiranja</w:t>
      </w:r>
      <w:r w:rsidR="00D627D3">
        <w:rPr>
          <w:rFonts w:eastAsia="Calibri" w:cstheme="minorHAnsi"/>
          <w:color w:val="000000"/>
        </w:rPr>
        <w:t xml:space="preserve"> koji sadrži prikaz ukupno ostvarenih prihoda i primitaka te izvršenih rashoda i izdataka na razini razreda ekonomske klasifikacije te razliku između ukupno ostvarenih prihoda i rashoda te primitaka i izdataka, te podatke o </w:t>
      </w:r>
      <w:r w:rsidR="0020285A">
        <w:rPr>
          <w:rFonts w:eastAsia="Calibri" w:cstheme="minorHAnsi"/>
          <w:color w:val="000000"/>
        </w:rPr>
        <w:t>prenesenom</w:t>
      </w:r>
      <w:r w:rsidR="00D627D3">
        <w:rPr>
          <w:rFonts w:eastAsia="Calibri" w:cstheme="minorHAnsi"/>
          <w:color w:val="000000"/>
        </w:rPr>
        <w:t xml:space="preserve"> </w:t>
      </w:r>
      <w:r w:rsidR="0020285A">
        <w:rPr>
          <w:rFonts w:eastAsia="Calibri" w:cstheme="minorHAnsi"/>
        </w:rPr>
        <w:t>višku odnosno manjku</w:t>
      </w:r>
      <w:r w:rsidR="00D627D3" w:rsidRPr="006B1AEE">
        <w:rPr>
          <w:rFonts w:eastAsia="Calibri" w:cstheme="minorHAnsi"/>
        </w:rPr>
        <w:t xml:space="preserve"> iz prethodne godine </w:t>
      </w:r>
      <w:r w:rsidR="003D6906" w:rsidRPr="006B1AEE">
        <w:rPr>
          <w:rFonts w:eastAsia="Calibri" w:cstheme="minorHAnsi"/>
        </w:rPr>
        <w:t xml:space="preserve">i </w:t>
      </w:r>
      <w:r w:rsidR="0020285A">
        <w:rPr>
          <w:rFonts w:eastAsia="Calibri" w:cstheme="minorHAnsi"/>
        </w:rPr>
        <w:t>višku odnosno manjku za prijenos u slijedeću godinu/razdoblje.</w:t>
      </w:r>
    </w:p>
    <w:p w14:paraId="7408FBAC" w14:textId="28E90CD6" w:rsidR="00E43B53" w:rsidRPr="006B1AEE" w:rsidRDefault="00E43B53" w:rsidP="00E43B53">
      <w:pPr>
        <w:numPr>
          <w:ilvl w:val="0"/>
          <w:numId w:val="1"/>
        </w:numPr>
        <w:spacing w:after="0" w:line="240" w:lineRule="auto"/>
        <w:ind w:left="397" w:hanging="170"/>
        <w:contextualSpacing/>
        <w:jc w:val="both"/>
        <w:rPr>
          <w:rFonts w:eastAsia="Calibri" w:cstheme="minorHAnsi"/>
        </w:rPr>
      </w:pPr>
      <w:r w:rsidRPr="006B1AEE">
        <w:rPr>
          <w:rFonts w:eastAsia="Calibri" w:cstheme="minorHAnsi"/>
        </w:rPr>
        <w:t xml:space="preserve">Račun prihoda i rashoda u kojem </w:t>
      </w:r>
      <w:r w:rsidR="003D6906" w:rsidRPr="006B1AEE">
        <w:rPr>
          <w:rFonts w:eastAsia="Calibri" w:cstheme="minorHAnsi"/>
        </w:rPr>
        <w:t xml:space="preserve">su prihodi i rashodi iskazani </w:t>
      </w:r>
      <w:r w:rsidR="00332D5C">
        <w:rPr>
          <w:rFonts w:eastAsia="Calibri" w:cstheme="minorHAnsi"/>
        </w:rPr>
        <w:t xml:space="preserve">u Izvještaju o prihodima i rashodima </w:t>
      </w:r>
      <w:r w:rsidR="003D6906" w:rsidRPr="006B1AEE">
        <w:rPr>
          <w:rFonts w:eastAsia="Calibri" w:cstheme="minorHAnsi"/>
        </w:rPr>
        <w:t>prema</w:t>
      </w:r>
      <w:r w:rsidRPr="006B1AEE">
        <w:rPr>
          <w:rFonts w:eastAsia="Calibri" w:cstheme="minorHAnsi"/>
        </w:rPr>
        <w:t xml:space="preserve"> ekonomskoj klasifikaciji</w:t>
      </w:r>
      <w:r w:rsidR="006B1AEE" w:rsidRPr="006B1AEE">
        <w:rPr>
          <w:rFonts w:eastAsia="Calibri" w:cstheme="minorHAnsi"/>
        </w:rPr>
        <w:t>,</w:t>
      </w:r>
      <w:r w:rsidRPr="006B1AEE">
        <w:rPr>
          <w:rFonts w:eastAsia="Calibri" w:cstheme="minorHAnsi"/>
        </w:rPr>
        <w:t xml:space="preserve"> </w:t>
      </w:r>
    </w:p>
    <w:p w14:paraId="17ABF2C4" w14:textId="2A1B5CC0" w:rsidR="00E43B53" w:rsidRPr="006B1AEE" w:rsidRDefault="00E43B53" w:rsidP="003D6906">
      <w:pPr>
        <w:numPr>
          <w:ilvl w:val="0"/>
          <w:numId w:val="1"/>
        </w:numPr>
        <w:spacing w:after="0" w:line="240" w:lineRule="auto"/>
        <w:ind w:left="369" w:hanging="142"/>
        <w:contextualSpacing/>
        <w:jc w:val="both"/>
        <w:rPr>
          <w:rFonts w:eastAsia="Calibri" w:cstheme="minorHAnsi"/>
        </w:rPr>
      </w:pPr>
      <w:r w:rsidRPr="006B1AEE">
        <w:rPr>
          <w:rFonts w:eastAsia="Calibri" w:cstheme="minorHAnsi"/>
        </w:rPr>
        <w:t>Račun financiranja u kojem su</w:t>
      </w:r>
      <w:r w:rsidR="003D6906" w:rsidRPr="006B1AEE">
        <w:rPr>
          <w:rFonts w:eastAsia="Calibri" w:cstheme="minorHAnsi"/>
        </w:rPr>
        <w:t xml:space="preserve"> primici i</w:t>
      </w:r>
      <w:r w:rsidRPr="006B1AEE">
        <w:rPr>
          <w:rFonts w:eastAsia="Calibri" w:cstheme="minorHAnsi"/>
        </w:rPr>
        <w:t xml:space="preserve"> izdaci </w:t>
      </w:r>
      <w:r w:rsidR="003D6906" w:rsidRPr="006B1AEE">
        <w:rPr>
          <w:rFonts w:eastAsia="Calibri" w:cstheme="minorHAnsi"/>
        </w:rPr>
        <w:t>iskazani</w:t>
      </w:r>
      <w:r w:rsidR="00332D5C">
        <w:rPr>
          <w:rFonts w:eastAsia="Calibri" w:cstheme="minorHAnsi"/>
        </w:rPr>
        <w:t xml:space="preserve"> u Izvještaju računa financiranja</w:t>
      </w:r>
      <w:r w:rsidR="003D6906" w:rsidRPr="006B1AEE">
        <w:rPr>
          <w:rFonts w:eastAsia="Calibri" w:cstheme="minorHAnsi"/>
        </w:rPr>
        <w:t xml:space="preserve"> prema</w:t>
      </w:r>
      <w:r w:rsidR="006B1AEE" w:rsidRPr="006B1AEE">
        <w:rPr>
          <w:rFonts w:eastAsia="Calibri" w:cstheme="minorHAnsi"/>
        </w:rPr>
        <w:t xml:space="preserve"> ekonomskoj klasifikaciji</w:t>
      </w:r>
      <w:r w:rsidRPr="006B1AEE">
        <w:rPr>
          <w:rFonts w:eastAsia="Calibri" w:cstheme="minorHAnsi"/>
        </w:rPr>
        <w:t>.</w:t>
      </w:r>
    </w:p>
    <w:p w14:paraId="3A8D17A7" w14:textId="3909C974" w:rsidR="00E43B53" w:rsidRPr="00922E8C" w:rsidRDefault="00E43B53" w:rsidP="00E43B53">
      <w:pPr>
        <w:pStyle w:val="Odlomakpopisa"/>
        <w:numPr>
          <w:ilvl w:val="0"/>
          <w:numId w:val="2"/>
        </w:numPr>
        <w:spacing w:before="120" w:after="120" w:line="240" w:lineRule="auto"/>
        <w:ind w:left="221" w:hanging="227"/>
        <w:contextualSpacing w:val="0"/>
        <w:jc w:val="both"/>
        <w:rPr>
          <w:rFonts w:cstheme="minorHAnsi"/>
        </w:rPr>
      </w:pPr>
      <w:r w:rsidRPr="006B1AEE">
        <w:rPr>
          <w:rFonts w:cstheme="minorHAnsi"/>
        </w:rPr>
        <w:t xml:space="preserve">Posebni dio </w:t>
      </w:r>
      <w:r w:rsidR="00332D5C">
        <w:rPr>
          <w:rFonts w:cstheme="minorHAnsi"/>
        </w:rPr>
        <w:t xml:space="preserve">polugodišnjeg izvještaja o izvršenju </w:t>
      </w:r>
      <w:r w:rsidRPr="006B1AEE">
        <w:rPr>
          <w:rFonts w:cstheme="minorHAnsi"/>
        </w:rPr>
        <w:t xml:space="preserve">financijskog plana koji sadrži izvršenje rashoda i izdataka </w:t>
      </w:r>
      <w:r w:rsidR="00B12032">
        <w:rPr>
          <w:rFonts w:cstheme="minorHAnsi"/>
        </w:rPr>
        <w:t>iskazanih prema</w:t>
      </w:r>
      <w:r w:rsidRPr="006B1AEE">
        <w:rPr>
          <w:rFonts w:cstheme="minorHAnsi"/>
        </w:rPr>
        <w:t xml:space="preserve"> ekonomskoj </w:t>
      </w:r>
      <w:r>
        <w:rPr>
          <w:rFonts w:cstheme="minorHAnsi"/>
        </w:rPr>
        <w:t>klasifikaciji raspoređenih u programe koji se sastoje od aktivnosti.</w:t>
      </w:r>
    </w:p>
    <w:p w14:paraId="51D14253" w14:textId="585C9A1D" w:rsidR="00E43B53" w:rsidRPr="001D29D3" w:rsidRDefault="00E43B53" w:rsidP="00E43B53">
      <w:pPr>
        <w:pStyle w:val="Odlomakpopisa"/>
        <w:numPr>
          <w:ilvl w:val="0"/>
          <w:numId w:val="2"/>
        </w:numPr>
        <w:spacing w:before="120" w:after="120" w:line="240" w:lineRule="auto"/>
        <w:ind w:left="221" w:hanging="227"/>
        <w:contextualSpacing w:val="0"/>
        <w:jc w:val="both"/>
        <w:rPr>
          <w:rFonts w:cstheme="minorHAnsi"/>
        </w:rPr>
      </w:pPr>
      <w:r w:rsidRPr="001D29D3">
        <w:rPr>
          <w:rFonts w:cstheme="minorHAnsi"/>
        </w:rPr>
        <w:t xml:space="preserve">Obrazloženje općeg dijela izvještaja o izvršenju financijskog plana </w:t>
      </w:r>
      <w:r w:rsidR="00F537B9">
        <w:rPr>
          <w:rFonts w:cstheme="minorHAnsi"/>
        </w:rPr>
        <w:t>sadrži obrazloženje ostvarenja</w:t>
      </w:r>
      <w:r w:rsidRPr="001D29D3">
        <w:rPr>
          <w:rFonts w:cstheme="minorHAnsi"/>
        </w:rPr>
        <w:t xml:space="preserve"> prihoda i rashoda, primitaka i izdataka</w:t>
      </w:r>
      <w:r w:rsidRPr="00B27EB7">
        <w:rPr>
          <w:rFonts w:cstheme="minorHAnsi"/>
        </w:rPr>
        <w:t xml:space="preserve"> te obrazloženje prenesenog viška odnosno manjka </w:t>
      </w:r>
      <w:r w:rsidR="00F537B9" w:rsidRPr="00B27EB7">
        <w:rPr>
          <w:rFonts w:cstheme="minorHAnsi"/>
        </w:rPr>
        <w:t>iz prethodne godine i viška odnosno manjka za prijenos u sljedeću godinu.</w:t>
      </w:r>
      <w:r w:rsidRPr="00B27EB7">
        <w:rPr>
          <w:rFonts w:cstheme="minorHAnsi"/>
        </w:rPr>
        <w:t xml:space="preserve"> </w:t>
      </w:r>
    </w:p>
    <w:p w14:paraId="13C49CB8" w14:textId="455491D1" w:rsidR="00E43B53" w:rsidRPr="0031282D" w:rsidRDefault="008224FB" w:rsidP="00321F64">
      <w:pPr>
        <w:pStyle w:val="Odlomakpopisa"/>
        <w:numPr>
          <w:ilvl w:val="0"/>
          <w:numId w:val="2"/>
        </w:numPr>
        <w:spacing w:before="120" w:after="120"/>
        <w:ind w:left="227" w:hanging="227"/>
        <w:contextualSpacing w:val="0"/>
        <w:jc w:val="both"/>
        <w:rPr>
          <w:rFonts w:cstheme="minorHAnsi"/>
        </w:rPr>
      </w:pPr>
      <w:r w:rsidRPr="0031282D">
        <w:rPr>
          <w:rFonts w:cstheme="minorHAnsi"/>
        </w:rPr>
        <w:t xml:space="preserve">Posebni izvještaji u </w:t>
      </w:r>
      <w:r w:rsidR="0031282D" w:rsidRPr="0031282D">
        <w:rPr>
          <w:rFonts w:cstheme="minorHAnsi"/>
        </w:rPr>
        <w:t>polu</w:t>
      </w:r>
      <w:r w:rsidRPr="0031282D">
        <w:rPr>
          <w:rFonts w:cstheme="minorHAnsi"/>
        </w:rPr>
        <w:t>godišnjem izvještaju o izvršenju financijskog plana sadrži podatke o zaduživanju na domaćem tržištu novca</w:t>
      </w:r>
      <w:r w:rsidR="0031282D">
        <w:rPr>
          <w:rFonts w:cstheme="minorHAnsi"/>
        </w:rPr>
        <w:t>.</w:t>
      </w:r>
      <w:r w:rsidRPr="0031282D">
        <w:rPr>
          <w:rFonts w:cstheme="minorHAnsi"/>
        </w:rPr>
        <w:t xml:space="preserve"> </w:t>
      </w:r>
      <w:r w:rsidRPr="0031282D">
        <w:rPr>
          <w:rFonts w:cstheme="minorHAnsi"/>
        </w:rPr>
        <w:br w:type="page"/>
      </w:r>
    </w:p>
    <w:p w14:paraId="2F10E3FF" w14:textId="2B1272BE" w:rsidR="00E43B53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lastRenderedPageBreak/>
        <w:t xml:space="preserve">Financiranje rashoda i izdataka </w:t>
      </w:r>
      <w:r>
        <w:rPr>
          <w:rFonts w:cstheme="minorHAnsi"/>
        </w:rPr>
        <w:t xml:space="preserve">tijekom </w:t>
      </w:r>
      <w:r>
        <w:t>202</w:t>
      </w:r>
      <w:r w:rsidR="007C4AEE">
        <w:t>5</w:t>
      </w:r>
      <w:r>
        <w:t>.</w:t>
      </w:r>
      <w:r w:rsidRPr="00CD5B87">
        <w:t xml:space="preserve"> godine</w:t>
      </w:r>
      <w:r w:rsidRPr="00CD5B87">
        <w:rPr>
          <w:rFonts w:cstheme="minorHAnsi"/>
        </w:rPr>
        <w:t xml:space="preserve"> </w:t>
      </w:r>
      <w:r>
        <w:rPr>
          <w:rFonts w:cstheme="minorHAnsi"/>
        </w:rPr>
        <w:t>planirano</w:t>
      </w:r>
      <w:r w:rsidRPr="00CD5B87">
        <w:rPr>
          <w:rFonts w:cstheme="minorHAnsi"/>
        </w:rPr>
        <w:t xml:space="preserve"> je</w:t>
      </w:r>
      <w:r>
        <w:rPr>
          <w:rFonts w:cstheme="minorHAnsi"/>
        </w:rPr>
        <w:t>:</w:t>
      </w:r>
    </w:p>
    <w:p w14:paraId="36077798" w14:textId="15838EF5" w:rsidR="00E43B53" w:rsidRPr="005D1D26" w:rsidRDefault="00E43B53" w:rsidP="00E43B53">
      <w:pPr>
        <w:pStyle w:val="Odlomakpopisa"/>
        <w:numPr>
          <w:ilvl w:val="0"/>
          <w:numId w:val="8"/>
        </w:numPr>
        <w:spacing w:before="120" w:after="120" w:line="240" w:lineRule="auto"/>
        <w:ind w:left="113" w:hanging="113"/>
        <w:contextualSpacing w:val="0"/>
        <w:jc w:val="both"/>
        <w:rPr>
          <w:rFonts w:cstheme="minorHAnsi"/>
        </w:rPr>
      </w:pPr>
      <w:r w:rsidRPr="005D1D26">
        <w:rPr>
          <w:rFonts w:cstheme="minorHAnsi"/>
        </w:rPr>
        <w:t xml:space="preserve">Financijskim planom Županijske uprave za ceste Primorsko-goranske županije za koji je Županijska skupština Primorsko-goranske županije na </w:t>
      </w:r>
      <w:r w:rsidR="005D1D26" w:rsidRPr="005D1D26">
        <w:rPr>
          <w:rFonts w:cstheme="minorHAnsi"/>
        </w:rPr>
        <w:t>32</w:t>
      </w:r>
      <w:r w:rsidRPr="005D1D26">
        <w:rPr>
          <w:rFonts w:cstheme="minorHAnsi"/>
        </w:rPr>
        <w:t xml:space="preserve">. sjednici održanoj </w:t>
      </w:r>
      <w:r w:rsidR="005D1D26" w:rsidRPr="005D1D26">
        <w:rPr>
          <w:rFonts w:cstheme="minorHAnsi"/>
        </w:rPr>
        <w:t>5</w:t>
      </w:r>
      <w:r w:rsidRPr="005D1D26">
        <w:rPr>
          <w:rFonts w:cstheme="minorHAnsi"/>
        </w:rPr>
        <w:t xml:space="preserve">. </w:t>
      </w:r>
      <w:r w:rsidR="005D1D26" w:rsidRPr="005D1D26">
        <w:rPr>
          <w:rFonts w:cstheme="minorHAnsi"/>
        </w:rPr>
        <w:t>prosinca</w:t>
      </w:r>
      <w:r w:rsidRPr="005D1D26">
        <w:rPr>
          <w:rFonts w:cstheme="minorHAnsi"/>
        </w:rPr>
        <w:t xml:space="preserve"> </w:t>
      </w:r>
      <w:r w:rsidR="00B67C07" w:rsidRPr="005D1D26">
        <w:rPr>
          <w:rFonts w:cstheme="minorHAnsi"/>
        </w:rPr>
        <w:t>202</w:t>
      </w:r>
      <w:r w:rsidR="0020285A">
        <w:rPr>
          <w:rFonts w:cstheme="minorHAnsi"/>
        </w:rPr>
        <w:t>4</w:t>
      </w:r>
      <w:r w:rsidRPr="005D1D26">
        <w:rPr>
          <w:rFonts w:cstheme="minorHAnsi"/>
        </w:rPr>
        <w:t>. godine donijela Odluku o davanju prethod</w:t>
      </w:r>
      <w:r w:rsidR="00F537B9" w:rsidRPr="005D1D26">
        <w:rPr>
          <w:rFonts w:cstheme="minorHAnsi"/>
        </w:rPr>
        <w:t xml:space="preserve">ne suglasnosti, a usvojen je </w:t>
      </w:r>
      <w:r w:rsidRPr="005D1D26">
        <w:rPr>
          <w:rFonts w:cstheme="minorHAnsi"/>
        </w:rPr>
        <w:t xml:space="preserve">od strane Upravnog vijeća na </w:t>
      </w:r>
      <w:r w:rsidR="00AD6BC9" w:rsidRPr="005D1D26">
        <w:rPr>
          <w:rFonts w:cstheme="minorHAnsi"/>
        </w:rPr>
        <w:t>54</w:t>
      </w:r>
      <w:r w:rsidRPr="005D1D26">
        <w:rPr>
          <w:rFonts w:cstheme="minorHAnsi"/>
        </w:rPr>
        <w:t>. sjednici održan</w:t>
      </w:r>
      <w:r w:rsidR="00B67C07" w:rsidRPr="005D1D26">
        <w:rPr>
          <w:rFonts w:cstheme="minorHAnsi"/>
        </w:rPr>
        <w:t>oj</w:t>
      </w:r>
      <w:r w:rsidRPr="005D1D26">
        <w:rPr>
          <w:rFonts w:cstheme="minorHAnsi"/>
        </w:rPr>
        <w:t xml:space="preserve"> </w:t>
      </w:r>
      <w:r w:rsidR="00AD6BC9" w:rsidRPr="005D1D26">
        <w:rPr>
          <w:rFonts w:cstheme="minorHAnsi"/>
        </w:rPr>
        <w:t>17</w:t>
      </w:r>
      <w:r w:rsidRPr="005D1D26">
        <w:rPr>
          <w:rFonts w:cstheme="minorHAnsi"/>
        </w:rPr>
        <w:t>. prosinca 202</w:t>
      </w:r>
      <w:r w:rsidR="00AD6BC9" w:rsidRPr="005D1D26">
        <w:rPr>
          <w:rFonts w:cstheme="minorHAnsi"/>
        </w:rPr>
        <w:t>4</w:t>
      </w:r>
      <w:r w:rsidRPr="005D1D26">
        <w:rPr>
          <w:rFonts w:cstheme="minorHAnsi"/>
        </w:rPr>
        <w:t>. godine. Visina rashoda i izdataka za 202</w:t>
      </w:r>
      <w:r w:rsidR="005D1D26">
        <w:rPr>
          <w:rFonts w:cstheme="minorHAnsi"/>
        </w:rPr>
        <w:t>5</w:t>
      </w:r>
      <w:r w:rsidR="00F537B9" w:rsidRPr="005D1D26">
        <w:rPr>
          <w:rFonts w:cstheme="minorHAnsi"/>
        </w:rPr>
        <w:t>. godinu utvrđena</w:t>
      </w:r>
      <w:r w:rsidRPr="005D1D26">
        <w:rPr>
          <w:rFonts w:cstheme="minorHAnsi"/>
        </w:rPr>
        <w:t xml:space="preserve"> je u iznosu od </w:t>
      </w:r>
      <w:r w:rsidR="00BF2778" w:rsidRPr="005D1D26">
        <w:rPr>
          <w:rFonts w:cstheme="minorHAnsi"/>
        </w:rPr>
        <w:t>16.767.205,61</w:t>
      </w:r>
      <w:r w:rsidR="00DE778C" w:rsidRPr="005D1D26">
        <w:rPr>
          <w:rFonts w:cstheme="minorHAnsi"/>
        </w:rPr>
        <w:t xml:space="preserve"> eur</w:t>
      </w:r>
      <w:r w:rsidR="005D1D26">
        <w:rPr>
          <w:rFonts w:cstheme="minorHAnsi"/>
        </w:rPr>
        <w:t>a</w:t>
      </w:r>
      <w:r w:rsidRPr="005D1D26">
        <w:rPr>
          <w:rFonts w:cstheme="minorHAnsi"/>
        </w:rPr>
        <w:t>.</w:t>
      </w:r>
    </w:p>
    <w:p w14:paraId="35CDFCDB" w14:textId="019176CE" w:rsidR="00E664A8" w:rsidRPr="00814442" w:rsidRDefault="00E43B53" w:rsidP="00814442">
      <w:pPr>
        <w:pStyle w:val="Odlomakpopisa"/>
        <w:numPr>
          <w:ilvl w:val="0"/>
          <w:numId w:val="8"/>
        </w:numPr>
        <w:spacing w:before="120" w:after="120"/>
        <w:ind w:left="113" w:hanging="113"/>
        <w:contextualSpacing w:val="0"/>
        <w:jc w:val="both"/>
        <w:rPr>
          <w:rFonts w:ascii="Calibri" w:eastAsiaTheme="majorEastAsia" w:hAnsi="Calibri" w:cstheme="majorBidi"/>
          <w:b/>
          <w:spacing w:val="-10"/>
          <w:kern w:val="28"/>
        </w:rPr>
      </w:pPr>
      <w:r w:rsidRPr="00D43C2A">
        <w:rPr>
          <w:rFonts w:cstheme="minorHAnsi"/>
        </w:rPr>
        <w:t>I. Izmjenama i dopunama financijskog plana za 202</w:t>
      </w:r>
      <w:r w:rsidR="00BF2778">
        <w:rPr>
          <w:rFonts w:cstheme="minorHAnsi"/>
        </w:rPr>
        <w:t>5</w:t>
      </w:r>
      <w:r w:rsidRPr="00D43C2A">
        <w:rPr>
          <w:rFonts w:cstheme="minorHAnsi"/>
        </w:rPr>
        <w:t>. godinu i projekcija za 202</w:t>
      </w:r>
      <w:r w:rsidR="00BF2778">
        <w:rPr>
          <w:rFonts w:cstheme="minorHAnsi"/>
        </w:rPr>
        <w:t>6</w:t>
      </w:r>
      <w:r w:rsidRPr="00D43C2A">
        <w:rPr>
          <w:rFonts w:cstheme="minorHAnsi"/>
        </w:rPr>
        <w:t>. i 202</w:t>
      </w:r>
      <w:r w:rsidR="00BF2778">
        <w:rPr>
          <w:rFonts w:cstheme="minorHAnsi"/>
        </w:rPr>
        <w:t>7</w:t>
      </w:r>
      <w:r w:rsidRPr="00D43C2A">
        <w:rPr>
          <w:rFonts w:cstheme="minorHAnsi"/>
        </w:rPr>
        <w:t>. godinu početni financijski plan</w:t>
      </w:r>
      <w:r w:rsidR="00DE778C" w:rsidRPr="00D43C2A">
        <w:rPr>
          <w:rFonts w:cstheme="minorHAnsi"/>
        </w:rPr>
        <w:t xml:space="preserve"> je povećan za </w:t>
      </w:r>
      <w:r w:rsidR="00BF2778">
        <w:rPr>
          <w:rFonts w:cstheme="minorHAnsi"/>
        </w:rPr>
        <w:t>3.175.481,51</w:t>
      </w:r>
      <w:r w:rsidR="00DE778C" w:rsidRPr="00D43C2A">
        <w:rPr>
          <w:rFonts w:cstheme="minorHAnsi"/>
        </w:rPr>
        <w:t xml:space="preserve"> eur</w:t>
      </w:r>
      <w:r w:rsidR="00BF2778">
        <w:rPr>
          <w:rFonts w:cstheme="minorHAnsi"/>
        </w:rPr>
        <w:t>a</w:t>
      </w:r>
      <w:r w:rsidRPr="00D43C2A">
        <w:rPr>
          <w:rFonts w:cstheme="minorHAnsi"/>
        </w:rPr>
        <w:t xml:space="preserve"> odnosn</w:t>
      </w:r>
      <w:r w:rsidR="00DE778C" w:rsidRPr="00D43C2A">
        <w:rPr>
          <w:rFonts w:cstheme="minorHAnsi"/>
        </w:rPr>
        <w:t xml:space="preserve">o na iznos od </w:t>
      </w:r>
      <w:r w:rsidR="00BF2778">
        <w:rPr>
          <w:rFonts w:cstheme="minorHAnsi"/>
        </w:rPr>
        <w:t>19.942.687,12</w:t>
      </w:r>
      <w:r w:rsidR="00DE778C" w:rsidRPr="00D43C2A">
        <w:rPr>
          <w:rFonts w:cstheme="minorHAnsi"/>
        </w:rPr>
        <w:t xml:space="preserve"> eur</w:t>
      </w:r>
      <w:r w:rsidR="00BF2778">
        <w:rPr>
          <w:rFonts w:cstheme="minorHAnsi"/>
        </w:rPr>
        <w:t>a</w:t>
      </w:r>
      <w:r w:rsidRPr="00D43C2A">
        <w:rPr>
          <w:rFonts w:cstheme="minorHAnsi"/>
        </w:rPr>
        <w:t xml:space="preserve">. Navedeno povećanje </w:t>
      </w:r>
      <w:r w:rsidR="00814442">
        <w:rPr>
          <w:rFonts w:cstheme="minorHAnsi"/>
        </w:rPr>
        <w:t xml:space="preserve">je </w:t>
      </w:r>
      <w:r w:rsidR="00E664A8" w:rsidRPr="00814442">
        <w:rPr>
          <w:rFonts w:cs="Calibri"/>
        </w:rPr>
        <w:t xml:space="preserve">rezultat povećanja prihoda tekuće godine u iznosu od </w:t>
      </w:r>
      <w:r w:rsidR="00B35521" w:rsidRPr="00A65496">
        <w:rPr>
          <w:rFonts w:cs="Calibri"/>
        </w:rPr>
        <w:t xml:space="preserve">713.321,31 </w:t>
      </w:r>
      <w:r w:rsidR="00E664A8" w:rsidRPr="00814442">
        <w:rPr>
          <w:rFonts w:cs="Calibri"/>
        </w:rPr>
        <w:t>eur</w:t>
      </w:r>
      <w:r w:rsidR="005D1D26">
        <w:rPr>
          <w:rFonts w:cs="Calibri"/>
        </w:rPr>
        <w:t>a</w:t>
      </w:r>
      <w:r w:rsidR="00E664A8" w:rsidRPr="00814442">
        <w:rPr>
          <w:rFonts w:cs="Calibri"/>
        </w:rPr>
        <w:t xml:space="preserve">, te uključivanja prenesenog viška prihoda iz prethodne godine u iznosu od </w:t>
      </w:r>
      <w:r w:rsidR="00B35521" w:rsidRPr="00A65496">
        <w:rPr>
          <w:rFonts w:cs="Calibri"/>
        </w:rPr>
        <w:t xml:space="preserve">2.462.160,20 </w:t>
      </w:r>
      <w:r w:rsidR="00E664A8" w:rsidRPr="00814442">
        <w:rPr>
          <w:rFonts w:cs="Calibri"/>
        </w:rPr>
        <w:t>eur</w:t>
      </w:r>
      <w:r w:rsidR="005D1D26">
        <w:rPr>
          <w:rFonts w:cs="Calibri"/>
        </w:rPr>
        <w:t>a</w:t>
      </w:r>
      <w:r w:rsidR="00E664A8" w:rsidRPr="00814442">
        <w:rPr>
          <w:rFonts w:cs="Calibri"/>
        </w:rPr>
        <w:t xml:space="preserve"> </w:t>
      </w:r>
      <w:r w:rsidR="00B35521" w:rsidRPr="00A65496">
        <w:rPr>
          <w:rFonts w:cs="Calibri"/>
        </w:rPr>
        <w:t>(razlika između neto ostvarenog viška prihoda za 2024. godinu i planiranog početnim planom za 2024. godinu).</w:t>
      </w:r>
    </w:p>
    <w:p w14:paraId="2A0712E1" w14:textId="3ADDEC13" w:rsidR="00E43B53" w:rsidRPr="00D43C2A" w:rsidRDefault="00E43B53" w:rsidP="00E664A8">
      <w:pPr>
        <w:pStyle w:val="Odlomakpopisa"/>
        <w:spacing w:before="120" w:after="120"/>
        <w:ind w:left="113"/>
        <w:contextualSpacing w:val="0"/>
        <w:jc w:val="both"/>
        <w:rPr>
          <w:rFonts w:ascii="Calibri" w:eastAsiaTheme="majorEastAsia" w:hAnsi="Calibri" w:cstheme="majorBidi"/>
          <w:b/>
          <w:spacing w:val="-10"/>
          <w:kern w:val="28"/>
        </w:rPr>
      </w:pPr>
      <w:r>
        <w:br w:type="page"/>
      </w:r>
    </w:p>
    <w:p w14:paraId="056BA7FE" w14:textId="7999756F" w:rsidR="000B3A72" w:rsidRPr="00876748" w:rsidRDefault="000B3A72" w:rsidP="00EC6EAF">
      <w:pPr>
        <w:pStyle w:val="Naslov1"/>
      </w:pPr>
      <w:bookmarkStart w:id="3" w:name="_Toc14862479"/>
      <w:bookmarkStart w:id="4" w:name="_Toc204162362"/>
      <w:r w:rsidRPr="00EC6EAF">
        <w:lastRenderedPageBreak/>
        <w:t>OPĆI</w:t>
      </w:r>
      <w:r w:rsidRPr="00876748">
        <w:t xml:space="preserve"> </w:t>
      </w:r>
      <w:r w:rsidRPr="00EC6EAF">
        <w:t>DIO</w:t>
      </w:r>
      <w:bookmarkEnd w:id="3"/>
      <w:r w:rsidR="001E4E26">
        <w:t xml:space="preserve"> POLUGODI</w:t>
      </w:r>
      <w:r w:rsidR="00782E0F">
        <w:t>ŠNJEG IZVJEŠTAJA O IZVRŠENJU FINANCIJSKOG PLANA</w:t>
      </w:r>
      <w:bookmarkEnd w:id="4"/>
    </w:p>
    <w:p w14:paraId="15FFA68E" w14:textId="193F81DB" w:rsidR="00AE0EC2" w:rsidRPr="00876748" w:rsidRDefault="00AE0EC2" w:rsidP="00EC6EAF">
      <w:pPr>
        <w:pStyle w:val="Naslov2"/>
      </w:pPr>
      <w:bookmarkStart w:id="5" w:name="_Toc204162363"/>
      <w:r w:rsidRPr="00876748">
        <w:t xml:space="preserve">SAŽETAK RAČUNA </w:t>
      </w:r>
      <w:r w:rsidRPr="00EC6EAF">
        <w:t>PRIHODA</w:t>
      </w:r>
      <w:r w:rsidRPr="00876748">
        <w:t xml:space="preserve"> I RASHODA I RAČUNA FINANCIRANJA</w:t>
      </w:r>
      <w:bookmarkEnd w:id="5"/>
    </w:p>
    <w:p w14:paraId="36EBD372" w14:textId="233FE019" w:rsidR="006E72C1" w:rsidRDefault="006E72C1" w:rsidP="006E72C1">
      <w:pPr>
        <w:spacing w:after="120" w:line="240" w:lineRule="auto"/>
        <w:jc w:val="both"/>
      </w:pPr>
      <w:r w:rsidRPr="00E010E8">
        <w:t>Financijski plan Županijske uprave za ceste Primorsko-goranske županije za 202</w:t>
      </w:r>
      <w:r w:rsidR="00B35521">
        <w:t>5</w:t>
      </w:r>
      <w:r w:rsidR="00B1417D">
        <w:t>. godinu ostvaren je u prvom polugodištu 202</w:t>
      </w:r>
      <w:r w:rsidR="00B35521">
        <w:t>5</w:t>
      </w:r>
      <w:r w:rsidR="00B1417D">
        <w:t xml:space="preserve">. godine </w:t>
      </w:r>
      <w:r w:rsidRPr="00E010E8">
        <w:t>kako slijedi: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100"/>
        <w:gridCol w:w="1287"/>
        <w:gridCol w:w="1417"/>
        <w:gridCol w:w="1418"/>
        <w:gridCol w:w="850"/>
        <w:gridCol w:w="851"/>
      </w:tblGrid>
      <w:tr w:rsidR="004C2FBF" w:rsidRPr="004C2FBF" w14:paraId="501E1E7C" w14:textId="77777777" w:rsidTr="004C2FBF">
        <w:trPr>
          <w:trHeight w:val="720"/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7EA1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BE28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Ostvarenje/</w:t>
            </w: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Izvršenje </w:t>
            </w: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I-VI 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CBF0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93FF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Ostvarenje/</w:t>
            </w: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Izvršenje </w:t>
            </w: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I-VI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875D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Indeks 4./2.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B994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4./3. </w:t>
            </w:r>
          </w:p>
        </w:tc>
      </w:tr>
      <w:tr w:rsidR="004C2FBF" w:rsidRPr="004C2FBF" w14:paraId="0301700A" w14:textId="77777777" w:rsidTr="00AC1503">
        <w:trPr>
          <w:trHeight w:val="7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4BF9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4987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911E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F3E8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D41D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254A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</w:tr>
      <w:tr w:rsidR="004C2FBF" w:rsidRPr="004C2FBF" w14:paraId="039FDD40" w14:textId="77777777" w:rsidTr="00BC7714">
        <w:trPr>
          <w:trHeight w:val="340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33CF2D" w14:textId="77777777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4C2FBF" w:rsidRPr="004C2FBF" w14:paraId="0163E24F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99F2" w14:textId="2D26233C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6 </w:t>
            </w: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9AD83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6.591.703,24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230D6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17.290.223,97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86F11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8.093.220,69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9932C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0016F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46,81</w:t>
            </w:r>
          </w:p>
        </w:tc>
      </w:tr>
      <w:tr w:rsidR="004C2FBF" w:rsidRPr="004C2FBF" w14:paraId="5EFFC2AA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A226" w14:textId="67FA928F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7 </w:t>
            </w: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28784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58DC5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11.751,08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CAEF5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0D888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F7F9E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3,06</w:t>
            </w:r>
          </w:p>
        </w:tc>
      </w:tr>
      <w:tr w:rsidR="004C2FBF" w:rsidRPr="004C2FBF" w14:paraId="03E82C6C" w14:textId="77777777" w:rsidTr="00BC7714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DBCDAD" w14:textId="77777777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6E1820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6.591.703,24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A058E5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17.301.975,05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7F17CB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8.093.580,69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C08EF9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122,78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39EA8D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46,78</w:t>
            </w:r>
          </w:p>
        </w:tc>
      </w:tr>
      <w:tr w:rsidR="004C2FBF" w:rsidRPr="004C2FBF" w14:paraId="32193603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CED2" w14:textId="1D000070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3 </w:t>
            </w: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75936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5.726.552,10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6171B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15.498.283,46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119E9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6.769.504,80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BD4D7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103BC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43,68</w:t>
            </w:r>
          </w:p>
        </w:tc>
      </w:tr>
      <w:tr w:rsidR="004C2FBF" w:rsidRPr="004C2FBF" w14:paraId="35E660E7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EE87" w14:textId="1A146A3A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4 </w:t>
            </w: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077ED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517.493,52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5927E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4.044.403,66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1CBFB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1.524.249,65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B3EB7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294,54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1C6D9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37,69</w:t>
            </w:r>
          </w:p>
        </w:tc>
      </w:tr>
      <w:tr w:rsidR="004C2FBF" w:rsidRPr="004C2FBF" w14:paraId="6405ECC0" w14:textId="77777777" w:rsidTr="00BC7714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20513D" w14:textId="77777777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D96A67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6.244.045,62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D3B1B6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19.542.687,12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5540BF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8.293.754,45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A1D0FB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DAEEBF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42,44</w:t>
            </w:r>
          </w:p>
        </w:tc>
      </w:tr>
      <w:tr w:rsidR="004C2FBF" w:rsidRPr="004C2FBF" w14:paraId="1D3A68B4" w14:textId="77777777" w:rsidTr="00BC7714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587A02" w14:textId="7C25CE92" w:rsidR="004C2FBF" w:rsidRPr="004C2FBF" w:rsidRDefault="00C317BD" w:rsidP="00C317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Razlika prihoda i rashoda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74D8D06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347.657,62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527E10A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-2.240.712,07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5F12FDF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-200.173,76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C665C9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-57,58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3BBFCF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8,93</w:t>
            </w:r>
          </w:p>
        </w:tc>
      </w:tr>
      <w:tr w:rsidR="004C2FBF" w:rsidRPr="004C2FBF" w14:paraId="08B73850" w14:textId="77777777" w:rsidTr="004C2FBF">
        <w:trPr>
          <w:trHeight w:val="340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8892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C2FBF" w:rsidRPr="004C2FBF" w14:paraId="7FE85943" w14:textId="77777777" w:rsidTr="00BC7714">
        <w:trPr>
          <w:trHeight w:val="340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7F7FE6B" w14:textId="77777777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4C2FBF" w:rsidRPr="004C2FBF" w14:paraId="40B467A5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4C10" w14:textId="41645665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8 </w:t>
            </w: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CADE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8450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A67D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D070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6062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C2FBF" w:rsidRPr="004C2FBF" w14:paraId="0B94E66A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E8D3" w14:textId="2E6422D3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5 </w:t>
            </w: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8D638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F0DF0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6AA18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848F0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30071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FF71D2" w:rsidRPr="004C2FBF" w14:paraId="5DBD0FEC" w14:textId="77777777" w:rsidTr="00FF71D2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5A75CA" w14:textId="7BB5C6AC" w:rsidR="00FF71D2" w:rsidRDefault="00FF71D2" w:rsidP="00FF71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657810" w14:textId="65422CBA" w:rsidR="00FF71D2" w:rsidRPr="004C2FBF" w:rsidRDefault="00FF71D2" w:rsidP="00FF71D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BBC1B2" w14:textId="36BAD268" w:rsidR="00FF71D2" w:rsidRPr="004C2FBF" w:rsidRDefault="00FF71D2" w:rsidP="00FF71D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2B93B" w14:textId="3826BCC5" w:rsidR="00FF71D2" w:rsidRPr="004C2FBF" w:rsidRDefault="00FF71D2" w:rsidP="00FF71D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88F809" w14:textId="41249501" w:rsidR="00FF71D2" w:rsidRPr="004C2FBF" w:rsidRDefault="00FF71D2" w:rsidP="00FF71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A01E74" w14:textId="33750D1F" w:rsidR="00FF71D2" w:rsidRPr="004C2FBF" w:rsidRDefault="00FF71D2" w:rsidP="00FF71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4C2FBF" w:rsidRPr="004C2FBF" w14:paraId="334327D0" w14:textId="77777777" w:rsidTr="00BC7714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A58318B" w14:textId="208A6E7D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Razlika primitaka i izdataka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47194CF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66B7F2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3AB843A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FC5939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CF7A35E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4C2FBF" w:rsidRPr="004C2FBF" w14:paraId="6E207F50" w14:textId="77777777" w:rsidTr="004C2FBF">
        <w:trPr>
          <w:trHeight w:val="340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2829" w14:textId="2C853C39" w:rsidR="004C2FBF" w:rsidRPr="004C2FBF" w:rsidRDefault="004C2FBF" w:rsidP="00FF71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C2FBF" w:rsidRPr="004C2FBF" w14:paraId="5DE02F62" w14:textId="77777777" w:rsidTr="00BC7714">
        <w:trPr>
          <w:trHeight w:val="340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FC118C5" w14:textId="72AD8EB5" w:rsidR="004C2FBF" w:rsidRPr="004C2FBF" w:rsidRDefault="00BC7714" w:rsidP="004C2F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C. UKUPNO OSTVARENI PRIHODI I PRIMICI TE RASHODI </w:t>
            </w:r>
            <w:r w:rsidR="004C2FBF"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 IZDACI</w:t>
            </w:r>
          </w:p>
        </w:tc>
      </w:tr>
      <w:tr w:rsidR="004C2FBF" w:rsidRPr="004C2FBF" w14:paraId="49069B01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9924" w14:textId="77777777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 PRIHODI I PRIMICI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F26A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6.591.703,24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9B8E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17.301.975,05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88A1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8.093.580,69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4DA7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A5E2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46,78</w:t>
            </w:r>
          </w:p>
        </w:tc>
      </w:tr>
      <w:tr w:rsidR="004C2FBF" w:rsidRPr="004C2FBF" w14:paraId="6DBAC47A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4F48" w14:textId="77777777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 RASHODI I IZDACI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2F6F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6.444.045,62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8A98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19.942.687,12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B7D1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8.493.754,45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BB85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BB0E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42,59</w:t>
            </w:r>
          </w:p>
        </w:tc>
      </w:tr>
      <w:tr w:rsidR="004C2FBF" w:rsidRPr="004C2FBF" w14:paraId="7ED2A4F8" w14:textId="77777777" w:rsidTr="00BC7714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1106599" w14:textId="77777777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 RAZLIKA - VIŠAK/MANJAK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165A00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147.657,62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878D6A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-2.640.712,07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448E611" w14:textId="77777777" w:rsidR="004C2FBF" w:rsidRPr="004C2FBF" w:rsidRDefault="004C2FBF" w:rsidP="004C2F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-400.173,76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AEC363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-271,01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8A8310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15,15</w:t>
            </w:r>
          </w:p>
        </w:tc>
      </w:tr>
      <w:tr w:rsidR="004C2FBF" w:rsidRPr="004C2FBF" w14:paraId="6315238F" w14:textId="77777777" w:rsidTr="004C2FBF">
        <w:trPr>
          <w:trHeight w:val="340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CC15" w14:textId="77777777" w:rsidR="004C2FBF" w:rsidRPr="004C2FBF" w:rsidRDefault="004C2FBF" w:rsidP="004C2F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C2FBF" w:rsidRPr="004C2FBF" w14:paraId="12EE4228" w14:textId="77777777" w:rsidTr="00BC7714">
        <w:trPr>
          <w:trHeight w:val="340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020E60" w14:textId="77777777" w:rsidR="004C2FBF" w:rsidRPr="004C2FBF" w:rsidRDefault="004C2FBF" w:rsidP="004C2F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D. RASPOLOŽIVA SREDSTVA IZ PRETHODNIH GODINA</w:t>
            </w:r>
          </w:p>
        </w:tc>
      </w:tr>
      <w:tr w:rsidR="00697900" w:rsidRPr="004C2FBF" w14:paraId="50FB2769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C4BB" w14:textId="77777777" w:rsidR="00697900" w:rsidRPr="004C2FBF" w:rsidRDefault="00697900" w:rsidP="006979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VIŠAK/MANJAK PRIHODA preneseni (+/-)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42FB9" w14:textId="715A12D6" w:rsidR="00697900" w:rsidRPr="004C2FBF" w:rsidRDefault="00697900" w:rsidP="006979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3.382.264,97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7945D" w14:textId="140213BD" w:rsidR="00697900" w:rsidRPr="004C2FBF" w:rsidRDefault="00697900" w:rsidP="006979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2.640.712,07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38A8E" w14:textId="7C14B768" w:rsidR="00697900" w:rsidRPr="004C2FBF" w:rsidRDefault="00697900" w:rsidP="006979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2.640.712,07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2A1A" w14:textId="7364C177" w:rsidR="00697900" w:rsidRPr="004C2FBF" w:rsidRDefault="00697900" w:rsidP="00697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E9FC" w14:textId="03CC868E" w:rsidR="00697900" w:rsidRPr="004C2FBF" w:rsidRDefault="00697900" w:rsidP="00697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697900" w:rsidRPr="004C2FBF" w14:paraId="74C46A19" w14:textId="77777777" w:rsidTr="004C2FBF">
        <w:trPr>
          <w:trHeight w:val="340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D032" w14:textId="77777777" w:rsidR="00697900" w:rsidRPr="004C2FBF" w:rsidRDefault="00697900" w:rsidP="006979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C2FB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6DAF7" w14:textId="781B063D" w:rsidR="00697900" w:rsidRPr="004C2FBF" w:rsidRDefault="00697900" w:rsidP="006979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3.529.922,59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B1689" w14:textId="7354EBDC" w:rsidR="00697900" w:rsidRPr="004C2FBF" w:rsidRDefault="00697900" w:rsidP="006979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C79AF" w14:textId="61E5969D" w:rsidR="00697900" w:rsidRPr="004C2FBF" w:rsidRDefault="00697900" w:rsidP="006979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2.240.538,31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086A" w14:textId="280D01DD" w:rsidR="00697900" w:rsidRPr="004C2FBF" w:rsidRDefault="00697900" w:rsidP="00697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9C2F" w14:textId="154E836B" w:rsidR="00697900" w:rsidRPr="004C2FBF" w:rsidRDefault="00697900" w:rsidP="00697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</w:tbl>
    <w:p w14:paraId="6777C8AB" w14:textId="101B8313" w:rsidR="000B3A72" w:rsidRPr="000F1741" w:rsidRDefault="0037137B" w:rsidP="00B1417D">
      <w:pPr>
        <w:spacing w:after="240" w:line="257" w:lineRule="auto"/>
        <w:rPr>
          <w:rFonts w:cstheme="minorHAnsi"/>
          <w:b/>
        </w:rPr>
      </w:pPr>
      <w:r w:rsidRPr="00F5175A">
        <w:rPr>
          <w:rFonts w:cstheme="minorHAnsi"/>
          <w:b/>
          <w:color w:val="FF0000"/>
        </w:rPr>
        <w:br w:type="page"/>
      </w:r>
    </w:p>
    <w:p w14:paraId="78D41CBB" w14:textId="65ADA5F4" w:rsidR="00111259" w:rsidRDefault="00111259" w:rsidP="00EC6EAF">
      <w:pPr>
        <w:pStyle w:val="Naslov2"/>
      </w:pPr>
      <w:bookmarkStart w:id="6" w:name="_Toc204162364"/>
      <w:r>
        <w:lastRenderedPageBreak/>
        <w:t>RAČUN PRIHODA I RASHODA</w:t>
      </w:r>
      <w:bookmarkEnd w:id="6"/>
      <w:r>
        <w:t xml:space="preserve"> </w:t>
      </w:r>
    </w:p>
    <w:p w14:paraId="17168503" w14:textId="59B36569" w:rsidR="006E72C1" w:rsidRPr="000F1741" w:rsidRDefault="006E72C1" w:rsidP="006E72C1">
      <w:pPr>
        <w:spacing w:after="200" w:line="240" w:lineRule="auto"/>
        <w:jc w:val="both"/>
        <w:rPr>
          <w:rFonts w:cstheme="minorHAnsi"/>
        </w:rPr>
      </w:pPr>
      <w:r w:rsidRPr="000F1741">
        <w:rPr>
          <w:rFonts w:cstheme="minorHAnsi"/>
        </w:rPr>
        <w:t xml:space="preserve">Izvršenje prihoda i rashoda prema ekonomskoj klasifikaciji utvrđenih u Računu prihoda i rashoda za </w:t>
      </w:r>
      <w:r w:rsidR="00E67483">
        <w:rPr>
          <w:rFonts w:cstheme="minorHAnsi"/>
        </w:rPr>
        <w:t xml:space="preserve">prvo polugodište </w:t>
      </w:r>
      <w:r w:rsidRPr="000F1741">
        <w:t>202</w:t>
      </w:r>
      <w:r w:rsidR="00B35521">
        <w:t>5</w:t>
      </w:r>
      <w:r>
        <w:t>. godinu</w:t>
      </w:r>
      <w:r w:rsidRPr="000F1741">
        <w:t xml:space="preserve"> prikazano</w:t>
      </w:r>
      <w:r w:rsidRPr="000F1741">
        <w:rPr>
          <w:rFonts w:cstheme="minorHAnsi"/>
        </w:rPr>
        <w:t xml:space="preserve"> je u nastavku:</w:t>
      </w:r>
    </w:p>
    <w:p w14:paraId="17A0E94F" w14:textId="03DB8A0B" w:rsidR="000B3A72" w:rsidRPr="00FE4677" w:rsidRDefault="004C238B" w:rsidP="00EC6EAF">
      <w:pPr>
        <w:pStyle w:val="Naslov3"/>
      </w:pPr>
      <w:bookmarkStart w:id="7" w:name="_Toc204162365"/>
      <w:r w:rsidRPr="00FE4677">
        <w:t xml:space="preserve">IZVJEŠTAJ O </w:t>
      </w:r>
      <w:r w:rsidRPr="00EC6EAF">
        <w:t>PRIHODIMA</w:t>
      </w:r>
      <w:r w:rsidRPr="00FE4677">
        <w:t xml:space="preserve"> I </w:t>
      </w:r>
      <w:r w:rsidRPr="004C238B">
        <w:t>RASHODIMA</w:t>
      </w:r>
      <w:r w:rsidRPr="00FE4677">
        <w:t xml:space="preserve"> PREMA EKONOMSKOJ KLASIFIKACIJI</w:t>
      </w:r>
      <w:bookmarkEnd w:id="7"/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969"/>
        <w:gridCol w:w="1383"/>
        <w:gridCol w:w="1452"/>
        <w:gridCol w:w="1404"/>
        <w:gridCol w:w="858"/>
        <w:gridCol w:w="858"/>
      </w:tblGrid>
      <w:tr w:rsidR="008D33BC" w:rsidRPr="008D33BC" w14:paraId="093C9BC7" w14:textId="77777777" w:rsidTr="008D33BC">
        <w:trPr>
          <w:trHeight w:val="720"/>
          <w:tblHeader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F53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BD8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Ostvarenje/</w:t>
            </w: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Izvršenje </w:t>
            </w: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I-VI 2024.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25B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3F6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Ostvarenje/</w:t>
            </w: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Izvršenje </w:t>
            </w: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I-VI 2025.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656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4./2.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353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4./3. </w:t>
            </w:r>
          </w:p>
        </w:tc>
      </w:tr>
      <w:tr w:rsidR="008D33BC" w:rsidRPr="008D33BC" w14:paraId="50B870A0" w14:textId="77777777" w:rsidTr="00AC1503">
        <w:trPr>
          <w:trHeight w:val="152"/>
          <w:tblHeader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E83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B99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984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7FF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B631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793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8D33BC" w:rsidRPr="008D33BC" w14:paraId="08DA9E20" w14:textId="77777777" w:rsidTr="00AC1503">
        <w:trPr>
          <w:trHeight w:val="340"/>
          <w:jc w:val="center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EC579B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8D33BC" w:rsidRPr="008D33BC" w14:paraId="4E09A5D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5F0D9C9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DFDBA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6.591.703,24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FA2AC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17.290.223,97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48B67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8.093.220,69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8DC64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122,78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2FC8F1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46,81</w:t>
            </w:r>
          </w:p>
        </w:tc>
      </w:tr>
      <w:tr w:rsidR="008D33BC" w:rsidRPr="008D33BC" w14:paraId="52F014EA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2B1B9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CD5EF3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172.194,80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C03883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3.147.983,19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44E83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381.187,69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8C30C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221,37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3957F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12,11</w:t>
            </w:r>
          </w:p>
        </w:tc>
      </w:tr>
      <w:tr w:rsidR="008D33BC" w:rsidRPr="008D33BC" w14:paraId="106EBBA8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36B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633 Pomoći proračunu iz drugih proračuna i izvanproračunskim korisnicima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DEEC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172.194,80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F8C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932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381.187,69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329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221,37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211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9C738E8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E923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6331 Tekuće pomoći proračunu iz drugih proračuna i izvanproračunskim korisnicima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93A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122.194,80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EA8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157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136.200,52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366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111,46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C6A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EEC6AF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EB41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6332 Kapitalne pomoći proračunu iz drugih proračuna i izvanproračunskim korisnicima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07B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B41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D4CE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244.987,17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BA8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489,97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AE4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864B048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CFDCF9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75CF72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6.303.447,18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81691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13.102.500,00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A91807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6.829.669,60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0BB6B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108,35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6E1D3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52,12</w:t>
            </w:r>
          </w:p>
        </w:tc>
      </w:tr>
      <w:tr w:rsidR="008D33BC" w:rsidRPr="008D33BC" w14:paraId="247FF389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B56A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813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4.172,03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0A4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2F1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10.360,20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80E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248,33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328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8F67D55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9DF8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0CB5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4.172,03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5EE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E9D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3.429,49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43D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82,20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407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CBB174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DB8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6414 Prihodi od zateznih kamata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A5F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633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882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6.930,71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3A0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B2F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6D7DB0D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DF93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BE6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6.299.275,15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518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B046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6.819.309,40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268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108,26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CC4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2E2508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9F58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6424 Naknade za ceste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9CD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6.299.275,15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45A5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746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6.819.309,40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71E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108,26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608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AF5392E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37D59B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0A8CAD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C39BF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42574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14.625,23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19FEE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4.266,65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654B6C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1.462,52</w:t>
            </w:r>
          </w:p>
        </w:tc>
      </w:tr>
      <w:tr w:rsidR="008D33BC" w:rsidRPr="008D33BC" w14:paraId="5CC80779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4C5C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5D8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0AD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AB2D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14.625,23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CBB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4.266,65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1AC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19EF633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90FE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003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402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E4A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14.625,23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A5A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4.266,65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646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B293D8A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57C524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32BBEA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114.354,54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95FBE93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1.035.740,78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1EDA9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863.497,67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B43D0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755,11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96FB0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83,37</w:t>
            </w:r>
          </w:p>
        </w:tc>
      </w:tr>
      <w:tr w:rsidR="008D33BC" w:rsidRPr="008D33BC" w14:paraId="21B74C10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DCF4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663 Donacije od pravnih i fizičkih osoba izvan općeg proračuna i povrat donacija po protestiranim jamstvima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665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114.354,54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E303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D323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863.497,67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D90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755,11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D05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08DA47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D835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6631 Tekuće donacije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2D4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114.354,54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4706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948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863.497,67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2011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755,11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ECE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2ADD6B2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4EAA8B8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57659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1.363,94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E2693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EC394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4.240,50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5D424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310,90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C3E17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141,35</w:t>
            </w:r>
          </w:p>
        </w:tc>
      </w:tr>
      <w:tr w:rsidR="008D33BC" w:rsidRPr="008D33BC" w14:paraId="2DA5CE76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282E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683 Ostali prihodi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4B6C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1.363,94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387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ED7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4.240,50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218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310,90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51C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E6B652F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460E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6831 Ostali prihodi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61F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1.363,94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73F6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6A6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4.240,50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AB11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310,90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925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9ECE0E7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15718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B0028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5DFCB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11.751,08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5B5B69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72BFB6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58922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3,06</w:t>
            </w:r>
          </w:p>
        </w:tc>
      </w:tr>
      <w:tr w:rsidR="008D33BC" w:rsidRPr="008D33BC" w14:paraId="7FE85AB7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7CD0DC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72 Prihodi od prodaje proizvedene dugotrajne imovine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658B0C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94206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11.751,08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ABEF7A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0EEFE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16C09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3,06</w:t>
            </w:r>
          </w:p>
        </w:tc>
      </w:tr>
      <w:tr w:rsidR="008D33BC" w:rsidRPr="008D33BC" w14:paraId="3631FE3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1F3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722 Prihodi od prodaje postrojenja i opreme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107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7C4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923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488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641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14A7A0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ED88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7221 Uredska oprema i namještaj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5AE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9B0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059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FAE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4EF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38529E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402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7222 Komunikacijska oprema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A5B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CC0E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F5BF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973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42D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E621AF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E0DA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723 Prihodi od prodaje prijevoznih sredstava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0C2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D883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D0BD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B08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6C5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49E3C2BA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D7F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7231 Prijevozna sredstva u cestovnom prometu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FA5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A185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0A7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267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8C6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5EDA82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1B230B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C03997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6.591.703,24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1238B4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17.301.975,05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BA1FD6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8.093.580,69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0841D0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122,78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759AA7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46,78</w:t>
            </w:r>
          </w:p>
        </w:tc>
      </w:tr>
      <w:tr w:rsidR="008D33BC" w:rsidRPr="008D33BC" w14:paraId="5983D9CF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585D9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0C7003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5.726.552,10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31CF0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15.498.283,46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7DEF76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6.769.504,80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FC64AC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118,21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52F0FF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43,68</w:t>
            </w:r>
          </w:p>
        </w:tc>
      </w:tr>
      <w:tr w:rsidR="008D33BC" w:rsidRPr="008D33BC" w14:paraId="340B30C6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47AFB2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2BFCC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258.994,35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8E4D1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889.391,67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2F640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494.268,70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1D9C76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190,84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0849F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55,57</w:t>
            </w:r>
          </w:p>
        </w:tc>
      </w:tr>
      <w:tr w:rsidR="008D33BC" w:rsidRPr="008D33BC" w14:paraId="6A2AB60F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E8C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0E9D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203.386,69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667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BD5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390.626,36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ACB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192,06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089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40E5A4E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424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708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203.386,69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65E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2DD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390.626,36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E35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192,06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E7E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398E8A0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ABF4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8EA6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22.048,78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5C6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D7F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37.148,75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80D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168,48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7F7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A222072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12C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9145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22.048,78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FC4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367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37.148,75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09F6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168,48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172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821FE4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7C13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A36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33.558,88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1FE6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9C0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66.493,59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EB2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198,14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D20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F57BA2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E7CC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41F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33.558,88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9E2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6748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65.153,18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0D9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194,15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80C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4FB6FD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CABA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3133 Doprinosi za obvezno osiguranje u slučaju nezaposlenosti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29E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23D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6C3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1.340,41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4F4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5AC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A0ECE0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FD7182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F82DC3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5.050.760,36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00921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13.598.481,12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F2618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5.839.743,22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94C06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115,62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BA5FE0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42,94</w:t>
            </w:r>
          </w:p>
        </w:tc>
      </w:tr>
      <w:tr w:rsidR="008D33BC" w:rsidRPr="008D33BC" w14:paraId="2C15F176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8019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FB7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12.923,85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3A3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CB3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14.203,14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D86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109,90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654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C08AF33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11F5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D8E5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3.575,03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8A74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660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2.227,74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CA0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62,31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E83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9450B98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0A2D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213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6.698,82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E02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EEF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8.310,40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8B0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124,06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FA0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421C4FDF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C392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B3E6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3BB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FDE5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3.665,00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192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138,30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BFC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46D086D5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ED49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EA1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11.265,28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C67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364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9.827,73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BEA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87,24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A80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4F0475CA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6A0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6CE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3.467,06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7B4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B2C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3.394,20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6D0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9A5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B3A391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B353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7B68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6.546,98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E8D3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A84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6.199,46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143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936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A25D84D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798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F70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4F23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F25E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2,79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D55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589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F75377A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B8F8" w14:textId="23D619EA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3225 Sitni inventar i </w:t>
            </w:r>
            <w:proofErr w:type="spellStart"/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E86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1.251,24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5C08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586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231,28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40E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AD3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4C0379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2028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7A6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4.999.431,91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42B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5D8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5.789.605,23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42E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115,81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843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EBA4618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FD6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6EE8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4.712,83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7D3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A28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5.262,56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29A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111,66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7A2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D862F0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E05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0003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4.771.587,21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327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65C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5.484.524,99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B1C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114,94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E0E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B0AAD20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A263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AC6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16.109,12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79D5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CEF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16.792,25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1B4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104,24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6C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C4A3D78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AFD7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B7D4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40.432,99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090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F554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33.203,17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776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82,12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574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998689F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EACE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9BE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4.365,63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E5A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D6A4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12.149,01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45A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278,29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8C4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E579E50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53A9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4134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345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EBC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5.851,00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2D46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87F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13CE896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5AD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07D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17.714,34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5D83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353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82.942,04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7BE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468,22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8571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66A631B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A699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08D6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13.869,81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B7A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9D0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15.621,92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64A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112,63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E9E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F6F6B8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C5D9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C82F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130.639,98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8F5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BA8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133.258,29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2F1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102,00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D2A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4502A29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9EA4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F03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27.139,32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4FF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40C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26.107,12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AC9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96,20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13C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721AA2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263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B74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3.110,28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FB56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F5C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3.065,22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829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98,55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C64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345345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0572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A76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5.754,67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FA3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34B5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4.739,53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FDB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82,36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0A6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69C6C1A0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B68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491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3.354,45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F09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A6A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1.897,82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075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56,58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A68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9DACED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163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151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9.407,57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525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FA3F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7.605,58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1B86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80,85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DF5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F925DB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D7BB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F66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2.351,34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971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A2A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1.695,54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A5B6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72,11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E8F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7203773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DC9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AC1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1.464,04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7AD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C39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5.513,57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A16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376,60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61B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FF80A0D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FB91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A1C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1.696,97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EAD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60B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1.589,86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31E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93,69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759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B052483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A66E9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34 Financijski rashodi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EC5BF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16.235,48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91ABF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93.654,67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7DE47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65.227,23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B3622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401,76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C87A3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69,65</w:t>
            </w:r>
          </w:p>
        </w:tc>
      </w:tr>
      <w:tr w:rsidR="008D33BC" w:rsidRPr="008D33BC" w14:paraId="6065D7C3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8695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342 Kamate za primljene kredite i zajmove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0FE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15.514,99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912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00D2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12.295,70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63F6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79,25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AEE1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42BF1CD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2E81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DC7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15.514,99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6D49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823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12.295,70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E86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79,25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731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86F5197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0627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E507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720,49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15BC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9F1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52.931,53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293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7.346,60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5C0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5B2899F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D2CB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6D6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720,49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7A24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698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863,30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5D1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119,82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4D7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F0126CD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5A9F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790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DCE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478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52.068,23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51F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8DC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0CE9E5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3A4FD5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154B2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399.319,62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F23BB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864.756,00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EAB0A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362.615,52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86EAB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90,81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E6C98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41,93</w:t>
            </w:r>
          </w:p>
        </w:tc>
      </w:tr>
      <w:tr w:rsidR="008D33BC" w:rsidRPr="008D33BC" w14:paraId="2C1D0AB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E02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363 Pomoći unutar općeg proračuna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080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399.319,62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3382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C296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362.615,52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F5D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90,81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408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7114650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99E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3631 Tekuće pomoći unutar općeg proračuna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F0F6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399.319,62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D02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55C3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362.615,52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D02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90,81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A93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4434384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C36DE3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5B7D0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1.242,29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D73340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D61EA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7.650,13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63B99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615,81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D3175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14,71</w:t>
            </w:r>
          </w:p>
        </w:tc>
      </w:tr>
      <w:tr w:rsidR="008D33BC" w:rsidRPr="008D33BC" w14:paraId="39D8D225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FDEA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383 Kazne, penali i naknade štete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CDD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1.242,29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07D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FFF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7.650,13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D6B1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615,81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244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460945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B62C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3831 Naknade šteta pravnim i fizičkim osobama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A2EE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1.242,29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6258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BAA8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7.650,13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C66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615,81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262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20668B9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8285548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E5C660D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517.493,52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C3D1B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4.044.403,66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51673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1.524.249,65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5F2A8D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294,54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44087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37,69</w:t>
            </w:r>
          </w:p>
        </w:tc>
      </w:tr>
      <w:tr w:rsidR="008D33BC" w:rsidRPr="008D33BC" w14:paraId="53372905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EC355C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C7CE1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39D64A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DECCF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6B0CB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6D34CD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D33BC" w:rsidRPr="008D33BC" w14:paraId="708ED2A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9404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411 Materijalna imovina – prirodna bogatstva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FFD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E99E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3EA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120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12D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94B6B09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EC46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008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7011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3662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315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5AB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0AECD3E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560D9D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55159A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517.493,52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2A9F6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4.039.403,66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32AA0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1.524.249,65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8B2C14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294,54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AE046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37,73</w:t>
            </w:r>
          </w:p>
        </w:tc>
      </w:tr>
      <w:tr w:rsidR="008D33BC" w:rsidRPr="008D33BC" w14:paraId="25B37F0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9DB0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2F11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514.429,89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9FFA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1CF4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1.490.350,15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7C0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289,71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0C0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121E1DC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AC6C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ACDB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514.429,89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570E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738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1.490.350,15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BC4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289,71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5B71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87B15E1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664D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6659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3.063,63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3E0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2FE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2.425,00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05A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79,15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320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15B53114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4DEE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5A3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3.063,63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812C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328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1.575,00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3736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51,41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DCD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440F7C0F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8C7A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17B6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7077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6CC8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0F8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2E0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2EEFFF6B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1EEC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4223 Oprema za održavanje i zaštitu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048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4D46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24D0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03BE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9B7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7521BB7F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87E2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C50B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E59A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1E08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17F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FAC9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3A287F20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E61B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741A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B833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638D" w14:textId="77777777" w:rsidR="008D33BC" w:rsidRPr="008D33BC" w:rsidRDefault="008D33BC" w:rsidP="008D33B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0F0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8F7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D33BC" w:rsidRPr="008D33BC" w14:paraId="5C9A2279" w14:textId="77777777" w:rsidTr="00AC1503">
        <w:trPr>
          <w:trHeight w:val="34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EA1B462" w14:textId="77777777" w:rsidR="008D33BC" w:rsidRPr="008D33BC" w:rsidRDefault="008D33BC" w:rsidP="008D3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C91F18F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6.244.045,62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5ECF29C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19.542.687,12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E242795" w14:textId="77777777" w:rsidR="008D33BC" w:rsidRPr="008D33BC" w:rsidRDefault="008D33BC" w:rsidP="008D33BC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8.293.754,45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C0F61F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132,83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52DE43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42,44</w:t>
            </w:r>
          </w:p>
        </w:tc>
      </w:tr>
    </w:tbl>
    <w:p w14:paraId="636A4EC0" w14:textId="77777777" w:rsidR="00AC1503" w:rsidRDefault="00AC1503">
      <w:pPr>
        <w:spacing w:line="259" w:lineRule="auto"/>
      </w:pPr>
      <w:r>
        <w:br w:type="page"/>
      </w:r>
    </w:p>
    <w:p w14:paraId="1CC14A10" w14:textId="048EB901" w:rsidR="00AC1503" w:rsidRPr="00AC1503" w:rsidRDefault="000B3A72" w:rsidP="00AC1503">
      <w:pPr>
        <w:pStyle w:val="Naslov2"/>
      </w:pPr>
      <w:bookmarkStart w:id="8" w:name="_Toc204162366"/>
      <w:r w:rsidRPr="00FE4677">
        <w:lastRenderedPageBreak/>
        <w:t>RAČUN FINANCIRANJA</w:t>
      </w:r>
      <w:bookmarkEnd w:id="8"/>
      <w:r w:rsidRPr="00FE4677">
        <w:t xml:space="preserve"> </w:t>
      </w:r>
    </w:p>
    <w:p w14:paraId="5EB06495" w14:textId="6C99C92A" w:rsidR="006E72C1" w:rsidRPr="00115E47" w:rsidRDefault="006E72C1" w:rsidP="006E72C1">
      <w:pPr>
        <w:spacing w:after="0" w:line="240" w:lineRule="auto"/>
        <w:jc w:val="both"/>
        <w:rPr>
          <w:rFonts w:cstheme="minorHAnsi"/>
        </w:rPr>
      </w:pPr>
      <w:r w:rsidRPr="00115E47">
        <w:rPr>
          <w:rFonts w:cstheme="minorHAnsi"/>
        </w:rPr>
        <w:t xml:space="preserve">Izdaci prema ekonomskoj klasifikaciji </w:t>
      </w:r>
      <w:r>
        <w:rPr>
          <w:rFonts w:cstheme="minorHAnsi"/>
        </w:rPr>
        <w:t xml:space="preserve">u Računu financiranja za </w:t>
      </w:r>
      <w:r w:rsidR="00282E0E">
        <w:rPr>
          <w:rFonts w:cstheme="minorHAnsi"/>
        </w:rPr>
        <w:t xml:space="preserve">prvo polugodište </w:t>
      </w:r>
      <w:r w:rsidRPr="00115E47">
        <w:rPr>
          <w:rFonts w:cstheme="minorHAnsi"/>
        </w:rPr>
        <w:t>202</w:t>
      </w:r>
      <w:r w:rsidR="00B35521">
        <w:rPr>
          <w:rFonts w:cstheme="minorHAnsi"/>
        </w:rPr>
        <w:t>5</w:t>
      </w:r>
      <w:r w:rsidRPr="00115E47">
        <w:rPr>
          <w:rFonts w:cstheme="minorHAnsi"/>
        </w:rPr>
        <w:t>. godin</w:t>
      </w:r>
      <w:r w:rsidR="00282E0E">
        <w:rPr>
          <w:rFonts w:cstheme="minorHAnsi"/>
        </w:rPr>
        <w:t>e</w:t>
      </w:r>
      <w:r w:rsidRPr="00115E47">
        <w:rPr>
          <w:rFonts w:cstheme="minorHAnsi"/>
        </w:rPr>
        <w:t xml:space="preserve"> izvršeni su kako slijedi:</w:t>
      </w:r>
    </w:p>
    <w:p w14:paraId="50837C74" w14:textId="585383C1" w:rsidR="000B3A72" w:rsidRPr="00876748" w:rsidRDefault="00240CF7" w:rsidP="00EC6EAF">
      <w:pPr>
        <w:pStyle w:val="Naslov3"/>
      </w:pPr>
      <w:bookmarkStart w:id="9" w:name="_Toc204162367"/>
      <w:r w:rsidRPr="00876748">
        <w:t>IZVJEŠTAJ RAČUNA FINANCIRANJA PREMA EKONOMSKOJ KLASIFIKACIJI</w:t>
      </w:r>
      <w:bookmarkEnd w:id="9"/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4332"/>
        <w:gridCol w:w="1333"/>
        <w:gridCol w:w="1375"/>
        <w:gridCol w:w="1333"/>
        <w:gridCol w:w="850"/>
        <w:gridCol w:w="710"/>
      </w:tblGrid>
      <w:tr w:rsidR="008D33BC" w:rsidRPr="008D33BC" w14:paraId="3E507902" w14:textId="77777777" w:rsidTr="008D33BC">
        <w:trPr>
          <w:trHeight w:val="720"/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E525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8E1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Ostvarenje/</w:t>
            </w: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Izvršenje </w:t>
            </w: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I-VI 2024.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C7E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9D53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Ostvarenje/</w:t>
            </w: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Izvršenje </w:t>
            </w: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I-VI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44E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4./2.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444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4./3. </w:t>
            </w:r>
          </w:p>
        </w:tc>
      </w:tr>
      <w:tr w:rsidR="008D33BC" w:rsidRPr="008D33BC" w14:paraId="391F2471" w14:textId="77777777" w:rsidTr="00EF1A42">
        <w:trPr>
          <w:trHeight w:val="152"/>
          <w:jc w:val="center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242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EC7B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D026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14C1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F1FA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D0B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8D33BC" w:rsidRPr="008D33BC" w14:paraId="114544B2" w14:textId="77777777" w:rsidTr="00AC1503">
        <w:trPr>
          <w:trHeight w:val="340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7AC5CC8D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8D33BC" w:rsidRPr="008D33BC" w14:paraId="3F035FE3" w14:textId="77777777" w:rsidTr="00AC1503">
        <w:trPr>
          <w:trHeight w:val="340"/>
          <w:jc w:val="center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6923BA" w14:textId="77777777" w:rsidR="008D33BC" w:rsidRPr="008D33BC" w:rsidRDefault="008D33BC" w:rsidP="008D3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18C5FDA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145FA66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A3EA7B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F6738D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5FC66E0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33BC" w:rsidRPr="008D33BC" w14:paraId="6E0F9F46" w14:textId="77777777" w:rsidTr="00AC1503">
        <w:trPr>
          <w:trHeight w:val="340"/>
          <w:jc w:val="center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82705C" w14:textId="77777777" w:rsidR="008D33BC" w:rsidRPr="008D33BC" w:rsidRDefault="008D33BC" w:rsidP="008D3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1D8503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84AD36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F5EAC1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3BA46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202A9C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8D33BC" w:rsidRPr="008D33BC" w14:paraId="73773CF7" w14:textId="77777777" w:rsidTr="00AC1503">
        <w:trPr>
          <w:trHeight w:val="340"/>
          <w:jc w:val="center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4354" w14:textId="77777777" w:rsidR="008D33BC" w:rsidRPr="008D33BC" w:rsidRDefault="008D33BC" w:rsidP="008D3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D3F2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AA01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BFF5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F17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7B47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D33BC" w:rsidRPr="008D33BC" w14:paraId="0B511912" w14:textId="77777777" w:rsidTr="00AC1503">
        <w:trPr>
          <w:trHeight w:val="340"/>
          <w:jc w:val="center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B868" w14:textId="77777777" w:rsidR="008D33BC" w:rsidRPr="008D33BC" w:rsidRDefault="008D33BC" w:rsidP="008D3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3E2E" w14:textId="77777777" w:rsidR="008D33BC" w:rsidRPr="008D33BC" w:rsidRDefault="008D33BC" w:rsidP="008D33BC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40BA" w14:textId="77777777" w:rsidR="008D33BC" w:rsidRPr="008D33BC" w:rsidRDefault="008D33BC" w:rsidP="008D33BC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0D7F" w14:textId="77777777" w:rsidR="008D33BC" w:rsidRPr="008D33BC" w:rsidRDefault="008D33BC" w:rsidP="008D33BC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6028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C004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D33BC" w:rsidRPr="008D33BC" w14:paraId="5F7F1C78" w14:textId="77777777" w:rsidTr="00AC1503">
        <w:trPr>
          <w:trHeight w:val="340"/>
          <w:jc w:val="center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13B832F" w14:textId="77777777" w:rsidR="008D33BC" w:rsidRPr="008D33BC" w:rsidRDefault="008D33BC" w:rsidP="008D33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SVEUKUPNO IZDACI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3246C08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7512D19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03BE8C8" w14:textId="77777777" w:rsidR="008D33BC" w:rsidRPr="008D33BC" w:rsidRDefault="008D33BC" w:rsidP="008D33BC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55E0C2F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4064482" w14:textId="77777777" w:rsidR="008D33BC" w:rsidRPr="008D33BC" w:rsidRDefault="008D33BC" w:rsidP="008D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33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</w:tbl>
    <w:p w14:paraId="5E0A4940" w14:textId="77777777" w:rsidR="007207E7" w:rsidRDefault="007207E7">
      <w:pPr>
        <w:spacing w:line="259" w:lineRule="auto"/>
      </w:pPr>
      <w:r>
        <w:br w:type="page"/>
      </w:r>
    </w:p>
    <w:p w14:paraId="2DCA2CF3" w14:textId="1EAFF5F2" w:rsidR="007207E7" w:rsidRPr="00754548" w:rsidRDefault="007207E7" w:rsidP="00EC6EAF">
      <w:pPr>
        <w:pStyle w:val="Naslov1"/>
      </w:pPr>
      <w:bookmarkStart w:id="10" w:name="_Toc204162368"/>
      <w:r w:rsidRPr="00E42978">
        <w:lastRenderedPageBreak/>
        <w:t>POSEBNI DIO</w:t>
      </w:r>
      <w:r w:rsidR="00782E0F">
        <w:t xml:space="preserve"> POLUGODIŠNJEG IZVJEŠTAJA O IZVRŠENJU FINANCIJSKOG PLANA</w:t>
      </w:r>
      <w:bookmarkEnd w:id="10"/>
    </w:p>
    <w:p w14:paraId="02666D89" w14:textId="68AF58DC" w:rsidR="000B3A72" w:rsidRPr="008001FE" w:rsidRDefault="000B3A72" w:rsidP="003E6AB6">
      <w:pPr>
        <w:spacing w:after="0" w:line="240" w:lineRule="auto"/>
        <w:jc w:val="both"/>
        <w:rPr>
          <w:rFonts w:cstheme="minorHAnsi"/>
        </w:rPr>
      </w:pPr>
      <w:r w:rsidRPr="008001FE">
        <w:rPr>
          <w:rFonts w:cstheme="minorHAnsi"/>
        </w:rPr>
        <w:t xml:space="preserve">U Posebnom dijelu </w:t>
      </w:r>
      <w:r w:rsidR="006B5F96">
        <w:rPr>
          <w:rFonts w:cstheme="minorHAnsi"/>
        </w:rPr>
        <w:t>polu</w:t>
      </w:r>
      <w:r w:rsidRPr="008001FE">
        <w:rPr>
          <w:rFonts w:cstheme="minorHAnsi"/>
        </w:rPr>
        <w:t xml:space="preserve">godišnjeg izvještaja o </w:t>
      </w:r>
      <w:r w:rsidR="00E75033" w:rsidRPr="008001FE">
        <w:rPr>
          <w:rFonts w:cstheme="minorHAnsi"/>
        </w:rPr>
        <w:t xml:space="preserve">izvršenju financijskog plana za </w:t>
      </w:r>
      <w:r w:rsidR="00E75033" w:rsidRPr="008001FE">
        <w:t>202</w:t>
      </w:r>
      <w:r w:rsidR="00B35521">
        <w:t>5</w:t>
      </w:r>
      <w:r w:rsidR="00E75033" w:rsidRPr="008001FE">
        <w:t>. godin</w:t>
      </w:r>
      <w:r w:rsidR="008001FE" w:rsidRPr="008001FE">
        <w:t>u</w:t>
      </w:r>
      <w:r w:rsidR="00E75033" w:rsidRPr="008001FE">
        <w:rPr>
          <w:rFonts w:cstheme="minorHAnsi"/>
        </w:rPr>
        <w:t xml:space="preserve"> </w:t>
      </w:r>
      <w:r w:rsidR="00575DD4" w:rsidRPr="008001FE">
        <w:rPr>
          <w:rFonts w:cstheme="minorHAnsi"/>
        </w:rPr>
        <w:t>izvršeni rashodi</w:t>
      </w:r>
      <w:r w:rsidR="00D3413A" w:rsidRPr="008001FE">
        <w:rPr>
          <w:rFonts w:cstheme="minorHAnsi"/>
        </w:rPr>
        <w:t xml:space="preserve"> i izdaci</w:t>
      </w:r>
      <w:r w:rsidR="00575DD4" w:rsidRPr="008001FE">
        <w:rPr>
          <w:rFonts w:cstheme="minorHAnsi"/>
        </w:rPr>
        <w:t xml:space="preserve"> </w:t>
      </w:r>
      <w:r w:rsidR="008001FE" w:rsidRPr="008001FE">
        <w:rPr>
          <w:rFonts w:cstheme="minorHAnsi"/>
        </w:rPr>
        <w:t>iskazani su po ekonomskoj klasifikaciji, te su raspoređeni u program</w:t>
      </w:r>
      <w:r w:rsidR="00812EAC">
        <w:rPr>
          <w:rFonts w:cstheme="minorHAnsi"/>
        </w:rPr>
        <w:t>e koji se sastoje od aktivnosti</w:t>
      </w:r>
      <w:r w:rsidR="008001FE" w:rsidRPr="008001FE">
        <w:rPr>
          <w:rFonts w:cstheme="minorHAnsi"/>
        </w:rPr>
        <w:t>:</w:t>
      </w:r>
    </w:p>
    <w:p w14:paraId="4144A9AB" w14:textId="77DF459E" w:rsidR="00C8340A" w:rsidRPr="008001FE" w:rsidRDefault="00240CF7" w:rsidP="00EC6EAF">
      <w:pPr>
        <w:pStyle w:val="Naslov2"/>
      </w:pPr>
      <w:bookmarkStart w:id="11" w:name="_Toc204162369"/>
      <w:r>
        <w:t>IZVJEŠTAJ O IZVRŠENJU</w:t>
      </w:r>
      <w:r w:rsidRPr="008001FE">
        <w:t xml:space="preserve"> </w:t>
      </w:r>
      <w:r>
        <w:t xml:space="preserve">FINANCIJSKOG PLANA </w:t>
      </w:r>
      <w:r w:rsidRPr="008001FE">
        <w:t>PO PROGRAMSKOJ KLASIFIKACIJI</w:t>
      </w:r>
      <w:bookmarkEnd w:id="11"/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6669"/>
        <w:gridCol w:w="1275"/>
        <w:gridCol w:w="1271"/>
        <w:gridCol w:w="706"/>
      </w:tblGrid>
      <w:tr w:rsidR="00E80B2D" w:rsidRPr="00E80B2D" w14:paraId="1D5943EB" w14:textId="77777777" w:rsidTr="00176B2E">
        <w:trPr>
          <w:trHeight w:val="240"/>
          <w:tblHeader/>
          <w:jc w:val="center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5C00" w14:textId="64CC70A7" w:rsidR="00E80B2D" w:rsidRPr="00E80B2D" w:rsidRDefault="00E80B2D" w:rsidP="00176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5EA5" w14:textId="120AB048" w:rsidR="00E80B2D" w:rsidRPr="00E80B2D" w:rsidRDefault="00E80B2D" w:rsidP="00176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58FF8" w14:textId="77777777" w:rsidR="00E80B2D" w:rsidRPr="00E80B2D" w:rsidRDefault="00E80B2D" w:rsidP="00176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I-VI 2025.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077D" w14:textId="3F196611" w:rsidR="00E80B2D" w:rsidRPr="00E80B2D" w:rsidRDefault="00E80B2D" w:rsidP="00176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 3./2.</w:t>
            </w:r>
          </w:p>
        </w:tc>
      </w:tr>
      <w:tr w:rsidR="00E80B2D" w:rsidRPr="00E80B2D" w14:paraId="4CD30F17" w14:textId="77777777" w:rsidTr="00EF1A42">
        <w:trPr>
          <w:trHeight w:val="78"/>
          <w:tblHeader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4B71" w14:textId="77777777" w:rsidR="00E80B2D" w:rsidRPr="00E80B2D" w:rsidRDefault="00E80B2D" w:rsidP="00176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E2F4" w14:textId="77777777" w:rsidR="00E80B2D" w:rsidRPr="00E80B2D" w:rsidRDefault="00E80B2D" w:rsidP="00176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6742" w14:textId="77777777" w:rsidR="00E80B2D" w:rsidRPr="00E80B2D" w:rsidRDefault="00E80B2D" w:rsidP="00176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26CA" w14:textId="77777777" w:rsidR="00E80B2D" w:rsidRPr="00E80B2D" w:rsidRDefault="00E80B2D" w:rsidP="00176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</w:t>
            </w:r>
          </w:p>
        </w:tc>
      </w:tr>
      <w:tr w:rsidR="00E80B2D" w:rsidRPr="00E80B2D" w14:paraId="73C467D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7F6BAFF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Uprava: 9901 ŽUPANIJSKA UPRAVA ZA CESTE PRIMORSKO-GORANSKE ŽUPANIJE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F70BA1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19.942.687,12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29F6B4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8.493.754,45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8E27C3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42,59</w:t>
            </w:r>
          </w:p>
        </w:tc>
      </w:tr>
      <w:tr w:rsidR="00E80B2D" w:rsidRPr="00E80B2D" w14:paraId="104F059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D10B88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Program: 1000 RASHODI UPRAVE 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B44BA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2.629.981,92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5C6368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1.318.615,26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027C22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50,14</w:t>
            </w:r>
          </w:p>
        </w:tc>
      </w:tr>
      <w:tr w:rsidR="00E80B2D" w:rsidRPr="00E80B2D" w14:paraId="0DC3FCCF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973685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100002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13766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2.562.945,14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B1EA3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1.281.734,35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722A0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50,01</w:t>
            </w:r>
          </w:p>
        </w:tc>
      </w:tr>
      <w:tr w:rsidR="00E80B2D" w:rsidRPr="00E80B2D" w14:paraId="05C61F7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3AA3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43D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889.391,67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C45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494.268,70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BFE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55,57</w:t>
            </w:r>
          </w:p>
        </w:tc>
      </w:tr>
      <w:tr w:rsidR="00E80B2D" w:rsidRPr="00E80B2D" w14:paraId="2A519095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D977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728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D67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390.626,36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BE98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4FE3A0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62EC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B37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3A0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37.148,75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584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7BD6020D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3A3F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479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81B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65.153,18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07B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16BB329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9A7E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3133 Doprinosi za obvezno osiguranje u slučaju nezaposlenosti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B1A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6AB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1.340,41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1C3E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D69E53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A4CD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184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696.327,27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14E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367.249,88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582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52,74</w:t>
            </w:r>
          </w:p>
        </w:tc>
      </w:tr>
      <w:tr w:rsidR="00E80B2D" w:rsidRPr="00E80B2D" w14:paraId="6456808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7403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4D9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692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2.227,74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B15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F3BE98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2CD6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ED8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269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8.310,40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0F3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55A750D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C87D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6B8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021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3.665,00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646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41BB5A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4A30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04C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25D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3.394,20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264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5D83C29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C087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D45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94A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6.199,46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A71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7A10DF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25A0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2DE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313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2,79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A77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04A120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DFB3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3225 Sitni inventar i </w:t>
            </w:r>
            <w:proofErr w:type="spellStart"/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B27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44C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231,28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025B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8FC84F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A6DB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F34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E8B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5.262,56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A818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4D2C362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1FA5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D8F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E49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12.031,65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D6B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5B50A05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85AF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407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464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16.792,25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1A9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9097C22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1E1F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500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AC7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33.203,17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E50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66EE3F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E850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153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864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12.149,01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FF5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2910070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F3C3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5DC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52C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5.851,00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2C8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548919E3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36F0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732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4A1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82.942,04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A45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1388CDBC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09B6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4DC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A4A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15.621,92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E20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101FEAA5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58C7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759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E5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133.258,29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BE7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D88ACC5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88BE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C1D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D5E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3.065,22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E53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F9E3CAF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0571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8DE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A63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4.739,53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866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F509B92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F2AC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75F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870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1.897,82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ECC8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44279EE0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DB46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DED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238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7.605,58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6D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99A06D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C680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EF2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45B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1.695,54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7CA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5F6992B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2198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CCF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E63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5.513,57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891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527D81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5723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BFB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CB6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1.589,86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3F8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7844704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A1AE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858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60.470,20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36F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49.950,12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37F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82,60</w:t>
            </w:r>
          </w:p>
        </w:tc>
      </w:tr>
      <w:tr w:rsidR="00E80B2D" w:rsidRPr="00E80B2D" w14:paraId="5232E8B3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DEBB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99D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2C0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863,30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7DE7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53B834B0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F672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179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64E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49.086,82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083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B4C7B0F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2B90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152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864.756,00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F50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362.615,52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EDC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41,93</w:t>
            </w:r>
          </w:p>
        </w:tc>
      </w:tr>
      <w:tr w:rsidR="00E80B2D" w:rsidRPr="00E80B2D" w14:paraId="3255E68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C106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3631 Tekuće pomoći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BD1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519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362.615,52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9F2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6F0B31D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7B79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8DC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B7D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7.650,13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2F5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14,71</w:t>
            </w:r>
          </w:p>
        </w:tc>
      </w:tr>
      <w:tr w:rsidR="00E80B2D" w:rsidRPr="00E80B2D" w14:paraId="03D0EAF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3F71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3831 Naknade šteta pravnim i fizičkim osobama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BF1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FA6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7.650,13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BAE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1274473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D2BE4E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100003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FDB6F2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43390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2.981,41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F09AE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29,81</w:t>
            </w:r>
          </w:p>
        </w:tc>
      </w:tr>
      <w:tr w:rsidR="00E80B2D" w:rsidRPr="00E80B2D" w14:paraId="3A4606A5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9B0B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9FD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6A8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2.981,41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9774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29,81</w:t>
            </w:r>
          </w:p>
        </w:tc>
      </w:tr>
      <w:tr w:rsidR="00E80B2D" w:rsidRPr="00E80B2D" w14:paraId="7BAA5582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C90D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3433 Zatezne kamate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BAC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7A4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2.981,41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A854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74F6FDF5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9F68DE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100005 RASHODI ZA NABAVU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86E43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57.036,78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EEDEF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33.899,50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EC654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59,43</w:t>
            </w:r>
          </w:p>
        </w:tc>
      </w:tr>
      <w:tr w:rsidR="00E80B2D" w:rsidRPr="00E80B2D" w14:paraId="5039934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88AE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4B9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75B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CED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80B2D" w:rsidRPr="00E80B2D" w14:paraId="4E6C1F13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F8D1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4FD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530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0E2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18D483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F020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B56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52.036,78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BF4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33.899,50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F91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65,15</w:t>
            </w:r>
          </w:p>
        </w:tc>
      </w:tr>
      <w:tr w:rsidR="00E80B2D" w:rsidRPr="00E80B2D" w14:paraId="3C5A94B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43CB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861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9EF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1.575,00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257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ECA299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94C1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A86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32E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D0E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6BA33C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FAEA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4223 Oprema za održavanje i zaštitu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CF6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826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9D2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1828E6D2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96D6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4A4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30C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C28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44EFD0D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42BC7D9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Program: 1001 IZDACI RASHODI PO OSNOVI ZADUŽENJA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E9ECD9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40DF5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212.295,70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C5A24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50,17</w:t>
            </w:r>
          </w:p>
        </w:tc>
      </w:tr>
      <w:tr w:rsidR="00E80B2D" w:rsidRPr="00E80B2D" w14:paraId="425AC3F9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2CA259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100101 IZDACI I RASHODI ZA OTPLATU KREDITA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E5D180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6FD3B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212.295,70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11A8B3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50,17</w:t>
            </w:r>
          </w:p>
        </w:tc>
      </w:tr>
      <w:tr w:rsidR="00E80B2D" w:rsidRPr="00E80B2D" w14:paraId="0F915AB3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F3E3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096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A31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12.295,70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8DC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53,03</w:t>
            </w:r>
          </w:p>
        </w:tc>
      </w:tr>
      <w:tr w:rsidR="00E80B2D" w:rsidRPr="00E80B2D" w14:paraId="48A11DB0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EF62" w14:textId="77777777" w:rsidR="00176B2E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3423 Kamate za primljene kredite i zajmove od kreditnih i ostalih </w:t>
            </w:r>
          </w:p>
          <w:p w14:paraId="5651301C" w14:textId="313B35EE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financijskih institucija izvan javnog sektora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8D0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D36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12.295,70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076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1C40097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C669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87A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05E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7E6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</w:tr>
      <w:tr w:rsidR="00E80B2D" w:rsidRPr="00E80B2D" w14:paraId="49F2620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AF32" w14:textId="77777777" w:rsidR="00176B2E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5443 Otplata glavnice primljenih kredita od tuzemnih kreditnih institucija </w:t>
            </w:r>
          </w:p>
          <w:p w14:paraId="5FB7AC83" w14:textId="149DF2CC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izvan javnog sektora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03B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736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DE5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47BD1B1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2A68A04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Program: 1002 REDOVITO ODRŽAVANJE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09AA7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6.864.500,00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FDEAB7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3.379.753,32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64F2A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49,24</w:t>
            </w:r>
          </w:p>
        </w:tc>
      </w:tr>
      <w:tr w:rsidR="00E80B2D" w:rsidRPr="00E80B2D" w14:paraId="4D46A1FD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C57DCD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100201 NADZIRANJE I PREGLED CESTA I OBJEKTA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77F4A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368.759,42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F1293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195.558,90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9C81E7E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53,03</w:t>
            </w:r>
          </w:p>
        </w:tc>
      </w:tr>
      <w:tr w:rsidR="00E80B2D" w:rsidRPr="00E80B2D" w14:paraId="66270DC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3510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6B9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368.759,42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9CA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195.558,90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9FC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53,03</w:t>
            </w:r>
          </w:p>
        </w:tc>
      </w:tr>
      <w:tr w:rsidR="00E80B2D" w:rsidRPr="00E80B2D" w14:paraId="0CC390B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8B3F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931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348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195.558,90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CE9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5AD74DF0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5938623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100202 ODRŽAVANJE KOLNIKA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8DB56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841.419,20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74C4E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559.293,78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4B18F67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66,47</w:t>
            </w:r>
          </w:p>
        </w:tc>
      </w:tr>
      <w:tr w:rsidR="00E80B2D" w:rsidRPr="00E80B2D" w14:paraId="02A49B5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E335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14C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841.419,20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52A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559.293,78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E9F1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66,47</w:t>
            </w:r>
          </w:p>
        </w:tc>
      </w:tr>
      <w:tr w:rsidR="00E80B2D" w:rsidRPr="00E80B2D" w14:paraId="2B6B815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3BCF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60E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1DB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559.293,78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E978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8F7DD3B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64D3A19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100203 ODRŽAVANJE BANKINA I BERME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BBAAEF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367.547,61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D72A6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118.359,76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83524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32,20</w:t>
            </w:r>
          </w:p>
        </w:tc>
      </w:tr>
      <w:tr w:rsidR="00E80B2D" w:rsidRPr="00E80B2D" w14:paraId="1AB21ED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1B2B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085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367.547,61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51D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118.359,76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57FB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32,20</w:t>
            </w:r>
          </w:p>
        </w:tc>
      </w:tr>
      <w:tr w:rsidR="00E80B2D" w:rsidRPr="00E80B2D" w14:paraId="7BD89D6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CBBD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DCE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D86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118.359,76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4BC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205E5B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1C6F22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100204 ODRŽAVANJE USJEKA, ZASJEKA I NASIPA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E0540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35.421,18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0460D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12.123,96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04F3B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34,23</w:t>
            </w:r>
          </w:p>
        </w:tc>
      </w:tr>
      <w:tr w:rsidR="00E80B2D" w:rsidRPr="00E80B2D" w14:paraId="05CB58B9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15C4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BED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35.421,18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4F9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12.123,96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308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34,23</w:t>
            </w:r>
          </w:p>
        </w:tc>
      </w:tr>
      <w:tr w:rsidR="00E80B2D" w:rsidRPr="00E80B2D" w14:paraId="30A9F70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69DA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B65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57B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12.123,96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890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65862DF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76B791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100205 ODRŽAVANJE OBJEKATA ZA ODVODNJU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6CD7F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341.423,40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A70C7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80.622,73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95AE9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23,61</w:t>
            </w:r>
          </w:p>
        </w:tc>
      </w:tr>
      <w:tr w:rsidR="00E80B2D" w:rsidRPr="00E80B2D" w14:paraId="4BCEB07C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FACC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5E1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341.423,40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8D7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80.622,73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0AC4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23,61</w:t>
            </w:r>
          </w:p>
        </w:tc>
      </w:tr>
      <w:tr w:rsidR="00E80B2D" w:rsidRPr="00E80B2D" w14:paraId="7E4E5F5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5020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B59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27A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80.622,73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B61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508F16E0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AC04BE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100206 ODRŽAVANJE OPREME CESTE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3E9DC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523.310,31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E38A4D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235.930,21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182D5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45,08</w:t>
            </w:r>
          </w:p>
        </w:tc>
      </w:tr>
      <w:tr w:rsidR="00E80B2D" w:rsidRPr="00E80B2D" w14:paraId="59AFA71C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6DCA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8CC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523.310,31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FF6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235.930,21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5E0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45,08</w:t>
            </w:r>
          </w:p>
        </w:tc>
      </w:tr>
      <w:tr w:rsidR="00E80B2D" w:rsidRPr="00E80B2D" w14:paraId="3F00158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B237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C80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FC3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235.930,21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19A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6D4A96E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46DCC6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100207 KOŠNJA TRAVE I ZELENILA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904DA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829.260,59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FFE29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429.698,89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A3FDC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51,82</w:t>
            </w:r>
          </w:p>
        </w:tc>
      </w:tr>
      <w:tr w:rsidR="00E80B2D" w:rsidRPr="00E80B2D" w14:paraId="7CE5882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E1D3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47A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829.260,59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952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429.698,89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AC58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51,82</w:t>
            </w:r>
          </w:p>
        </w:tc>
      </w:tr>
      <w:tr w:rsidR="00E80B2D" w:rsidRPr="00E80B2D" w14:paraId="557D4405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43DE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421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26C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429.698,89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540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0AD99A3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A7457D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100208 ODRŽAVANJE OBJEKTA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21A5C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17.345,59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E277B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15.802,67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16D9C8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91,10</w:t>
            </w:r>
          </w:p>
        </w:tc>
      </w:tr>
      <w:tr w:rsidR="00E80B2D" w:rsidRPr="00E80B2D" w14:paraId="69C6DE0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BCBC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4CD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17.345,59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CF1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15.802,67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BF4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91,10</w:t>
            </w:r>
          </w:p>
        </w:tc>
      </w:tr>
      <w:tr w:rsidR="00E80B2D" w:rsidRPr="00E80B2D" w14:paraId="6197C890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0326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704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BC8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15.802,67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1AE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2192EE00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F62271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100209 SUSTAVI, INSTALACIJE, UREĐAJI I OPREMA NA CESTAMA I OBJEKTIMA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B9412A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1.775,50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9B928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406,25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5283B1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22,88</w:t>
            </w:r>
          </w:p>
        </w:tc>
      </w:tr>
      <w:tr w:rsidR="00E80B2D" w:rsidRPr="00E80B2D" w14:paraId="7DA54EB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4188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B57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1.775,50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F69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406,25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EC1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22,88</w:t>
            </w:r>
          </w:p>
        </w:tc>
      </w:tr>
      <w:tr w:rsidR="00E80B2D" w:rsidRPr="00E80B2D" w14:paraId="70B5BA0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D7EB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26D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EE9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406,25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592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96FD125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6AF8E38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100210 ODRŽAVANJE CESTA I OBJEKATA U ZIMSKIM UVJETIMA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EFB9D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2.495.676,73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B80E4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1.098.974,94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083F4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44,04</w:t>
            </w:r>
          </w:p>
        </w:tc>
      </w:tr>
      <w:tr w:rsidR="00E80B2D" w:rsidRPr="00E80B2D" w14:paraId="4C81E52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5030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E97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2.495.676,73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BA7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1.098.974,94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5154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44,04</w:t>
            </w:r>
          </w:p>
        </w:tc>
      </w:tr>
      <w:tr w:rsidR="00E80B2D" w:rsidRPr="00E80B2D" w14:paraId="0889FB8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B048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8CF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3B7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1.098.974,94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215E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D8ADB2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831E7E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A 100211 OSTALI RADOVI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35A74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81.584,97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604BE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25.311,26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4BC9D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31,02</w:t>
            </w:r>
          </w:p>
        </w:tc>
      </w:tr>
      <w:tr w:rsidR="00E80B2D" w:rsidRPr="00E80B2D" w14:paraId="5E5512F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3ADE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060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81.584,97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266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25.311,26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6017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31,02</w:t>
            </w:r>
          </w:p>
        </w:tc>
      </w:tr>
      <w:tr w:rsidR="00E80B2D" w:rsidRPr="00E80B2D" w14:paraId="2DC1BFF9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976C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C4F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943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25.311,26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09A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7B0D04D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EE8367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100212 NABAVA SOLI ZA POSIPANJE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FF5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D8002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99.900,01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89C30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27,41</w:t>
            </w:r>
          </w:p>
        </w:tc>
      </w:tr>
      <w:tr w:rsidR="00E80B2D" w:rsidRPr="00E80B2D" w14:paraId="6C798572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B532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0EF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DE5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99.900,01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7E4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27,41</w:t>
            </w:r>
          </w:p>
        </w:tc>
      </w:tr>
      <w:tr w:rsidR="00E80B2D" w:rsidRPr="00E80B2D" w14:paraId="70B40C2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6439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914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684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99.900,01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1017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4F4ED95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435783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100213 RAZLIKA U CIJENI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81158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563.200,00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23CD3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479.246,45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83688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85,09</w:t>
            </w:r>
          </w:p>
        </w:tc>
      </w:tr>
      <w:tr w:rsidR="00E80B2D" w:rsidRPr="00E80B2D" w14:paraId="4409EA0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C814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5DF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563.200,00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972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479.246,45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DB5B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85,09</w:t>
            </w:r>
          </w:p>
        </w:tc>
      </w:tr>
      <w:tr w:rsidR="00E80B2D" w:rsidRPr="00E80B2D" w14:paraId="632BBF39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02AE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BBE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8B7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479.246,45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4CB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067885A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53CBE6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100214 OBJEDINJENI IZNOS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C1E70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33.275,50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EC90BC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28.523,51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D4A987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85,72</w:t>
            </w:r>
          </w:p>
        </w:tc>
      </w:tr>
      <w:tr w:rsidR="00E80B2D" w:rsidRPr="00E80B2D" w14:paraId="74B9CB8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F078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0A2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33.275,50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5CD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28.523,51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D32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85,72</w:t>
            </w:r>
          </w:p>
        </w:tc>
      </w:tr>
      <w:tr w:rsidR="00E80B2D" w:rsidRPr="00E80B2D" w14:paraId="5D0504E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6792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F80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C98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28.523,51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427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7CC812A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99E491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Program: 1003 IZVANREDNO ODRŽAVANJE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E24F9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6.037.653,85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132CB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2.092.740,02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9A652E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34,66</w:t>
            </w:r>
          </w:p>
        </w:tc>
      </w:tr>
      <w:tr w:rsidR="00E80B2D" w:rsidRPr="00E80B2D" w14:paraId="2D981C5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8098AA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100301 SANACIJE CESTA/KOLNIKA/ZIDOVA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6D7F4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4.674.685,96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B9D37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1.853.634,60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F246F0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39,65</w:t>
            </w:r>
          </w:p>
        </w:tc>
      </w:tr>
      <w:tr w:rsidR="00E80B2D" w:rsidRPr="00E80B2D" w14:paraId="0E6670C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DD18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B0F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4.674.685,96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E0D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1.853.634,60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109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39,65</w:t>
            </w:r>
          </w:p>
        </w:tc>
      </w:tr>
      <w:tr w:rsidR="00E80B2D" w:rsidRPr="00E80B2D" w14:paraId="1B32CFD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586B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C29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B36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1.853.634,60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72F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1D50D5FD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5D3279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100302 MOSTOVI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65EFA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396.750,00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A6924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32.531,55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46C719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8,20</w:t>
            </w:r>
          </w:p>
        </w:tc>
      </w:tr>
      <w:tr w:rsidR="00E80B2D" w:rsidRPr="00E80B2D" w14:paraId="24BBA9E5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FE76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CD8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396.750,00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C97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32.531,55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DBBC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8,20</w:t>
            </w:r>
          </w:p>
        </w:tc>
      </w:tr>
      <w:tr w:rsidR="00E80B2D" w:rsidRPr="00E80B2D" w14:paraId="37FDFF5D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6D90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101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457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32.531,55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2E8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738FBE0B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3A5D57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100303 OPREMA CESTE I POSTAVA PROMETNE SIGNALIZACIJE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1BA22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234.875,00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2994C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22.201,50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3E715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9,45</w:t>
            </w:r>
          </w:p>
        </w:tc>
      </w:tr>
      <w:tr w:rsidR="00E80B2D" w:rsidRPr="00E80B2D" w14:paraId="2DBC781D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B437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848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234.875,00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6A0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22.201,50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A9F1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9,45</w:t>
            </w:r>
          </w:p>
        </w:tc>
      </w:tr>
      <w:tr w:rsidR="00E80B2D" w:rsidRPr="00E80B2D" w14:paraId="5C5BA10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CA27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F6F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149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22.201,50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3ED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3935DA67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3DE71B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100304 INTERVENTNE MJERE I ZAHVATI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D7D4E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330.967,89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101A9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125.934,87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D980F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38,05</w:t>
            </w:r>
          </w:p>
        </w:tc>
      </w:tr>
      <w:tr w:rsidR="00E80B2D" w:rsidRPr="00E80B2D" w14:paraId="4C1B5D73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7B41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64A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330.967,89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0DB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125.934,87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33F8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38,05</w:t>
            </w:r>
          </w:p>
        </w:tc>
      </w:tr>
      <w:tr w:rsidR="00E80B2D" w:rsidRPr="00E80B2D" w14:paraId="7FDC740E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F2FF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01E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7F3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125.934,87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3BD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2390B98C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5D2BD4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100305 PROJEKTIRANJE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674FD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175.125,00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6EAD3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F71294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29,41</w:t>
            </w:r>
          </w:p>
        </w:tc>
      </w:tr>
      <w:tr w:rsidR="00E80B2D" w:rsidRPr="00E80B2D" w14:paraId="0159789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EB22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1E7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175.125,00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8E0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885F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29,41</w:t>
            </w:r>
          </w:p>
        </w:tc>
      </w:tr>
      <w:tr w:rsidR="00E80B2D" w:rsidRPr="00E80B2D" w14:paraId="327F2FCD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BE53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59F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EF3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B0F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4AA41F83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59A22A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100306 PROŠIRENJE EVIDENCIJE BAZE CESTOVNIH PODATAKA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AF052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53.750,00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66094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B7ECDA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80B2D" w:rsidRPr="00E80B2D" w14:paraId="230CD82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C613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867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53.750,00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781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D86E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80B2D" w:rsidRPr="00E80B2D" w14:paraId="2CCF18E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B14C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90B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A49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E6FB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42A345C4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FA4695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100308 GEODETSKE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72899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161.500,00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8160A7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6.937,50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9BC362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4,30</w:t>
            </w:r>
          </w:p>
        </w:tc>
      </w:tr>
      <w:tr w:rsidR="00E80B2D" w:rsidRPr="00E80B2D" w14:paraId="19082F0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4EC4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718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161.500,00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DD9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6.937,50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029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4,30</w:t>
            </w:r>
          </w:p>
        </w:tc>
      </w:tr>
      <w:tr w:rsidR="00E80B2D" w:rsidRPr="00E80B2D" w14:paraId="154798E8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EC2A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E6F2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83A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6.937,50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01F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4F778861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C1C1E3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 100311 OSTALE NESPOMENUTE USLUGE VEZANE UZ ODRŽAVANJE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3817D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F7DFB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4F0B77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80B2D" w:rsidRPr="00E80B2D" w14:paraId="744BDDB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DB43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7401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1BF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7ECA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80B2D" w:rsidRPr="00E80B2D" w14:paraId="48598489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1A50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3EB6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A92E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141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53DC7132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D3E5A1B" w14:textId="77777777" w:rsidR="00E80B2D" w:rsidRPr="00E80B2D" w:rsidRDefault="00E80B2D" w:rsidP="00176B2E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Program: 1004 GRADNJA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C138B95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3.987.366,88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DEC1C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1.490.350,15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0BD93D1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37,38</w:t>
            </w:r>
          </w:p>
        </w:tc>
      </w:tr>
      <w:tr w:rsidR="00E80B2D" w:rsidRPr="00E80B2D" w14:paraId="4E9AAE5F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EF74D0" w14:textId="77777777" w:rsidR="00E80B2D" w:rsidRPr="00E80B2D" w:rsidRDefault="00E80B2D" w:rsidP="00176B2E">
            <w:pPr>
              <w:spacing w:after="0" w:line="240" w:lineRule="auto"/>
              <w:ind w:firstLineChars="200" w:firstLine="36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 100401 GRAĐENJE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612DB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3.825.934,73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E24DE97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1.464.350,15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7C1767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38,27</w:t>
            </w:r>
          </w:p>
        </w:tc>
      </w:tr>
      <w:tr w:rsidR="00E80B2D" w:rsidRPr="00E80B2D" w14:paraId="47EFC67A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5831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15EF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3.825.934,73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4C43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1.464.350,15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896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38,27</w:t>
            </w:r>
          </w:p>
        </w:tc>
      </w:tr>
      <w:tr w:rsidR="00E80B2D" w:rsidRPr="00E80B2D" w14:paraId="453F3FBC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078B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3570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F0A4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1.464.350,15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8D15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E80B2D" w:rsidRPr="00E80B2D" w14:paraId="2EAAB60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7CF8B9" w14:textId="77777777" w:rsidR="00E80B2D" w:rsidRPr="00E80B2D" w:rsidRDefault="00E80B2D" w:rsidP="00176B2E">
            <w:pPr>
              <w:spacing w:after="0" w:line="240" w:lineRule="auto"/>
              <w:ind w:firstLineChars="200" w:firstLine="36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 100405 PROJEKTIRANJE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5E9A7D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161.432,15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59799C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9B4B76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16,11</w:t>
            </w:r>
          </w:p>
        </w:tc>
      </w:tr>
      <w:tr w:rsidR="00E80B2D" w:rsidRPr="00E80B2D" w14:paraId="6FE015A6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DAF2" w14:textId="77777777" w:rsidR="00E80B2D" w:rsidRPr="00E80B2D" w:rsidRDefault="00E80B2D" w:rsidP="00176B2E">
            <w:pPr>
              <w:spacing w:after="0" w:line="240" w:lineRule="auto"/>
              <w:ind w:firstLineChars="400" w:firstLine="72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5CCA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161.432,15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9A49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A163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16,11</w:t>
            </w:r>
          </w:p>
        </w:tc>
      </w:tr>
      <w:tr w:rsidR="00E80B2D" w:rsidRPr="00E80B2D" w14:paraId="7620621C" w14:textId="77777777" w:rsidTr="00176B2E">
        <w:trPr>
          <w:trHeight w:val="283"/>
          <w:jc w:val="center"/>
        </w:trPr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7479" w14:textId="77777777" w:rsidR="00E80B2D" w:rsidRPr="00E80B2D" w:rsidRDefault="00E80B2D" w:rsidP="00176B2E">
            <w:pPr>
              <w:spacing w:after="0" w:line="240" w:lineRule="auto"/>
              <w:ind w:firstLineChars="500" w:firstLine="90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007B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1CD8" w14:textId="77777777" w:rsidR="00E80B2D" w:rsidRPr="00E80B2D" w:rsidRDefault="00E80B2D" w:rsidP="00E8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50BD" w14:textId="77777777" w:rsidR="00E80B2D" w:rsidRPr="00E80B2D" w:rsidRDefault="00E80B2D" w:rsidP="00E80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80B2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</w:tbl>
    <w:p w14:paraId="498CEE57" w14:textId="61651004" w:rsidR="007C01E6" w:rsidRPr="00EC5009" w:rsidRDefault="007C01E6" w:rsidP="00922E8C">
      <w:pPr>
        <w:spacing w:after="0" w:line="240" w:lineRule="auto"/>
        <w:rPr>
          <w:rFonts w:cstheme="minorHAnsi"/>
          <w:sz w:val="18"/>
          <w:szCs w:val="18"/>
        </w:rPr>
      </w:pPr>
      <w:r w:rsidRPr="00EC5009">
        <w:rPr>
          <w:rFonts w:cstheme="minorHAnsi"/>
          <w:sz w:val="18"/>
          <w:szCs w:val="18"/>
        </w:rPr>
        <w:br w:type="page"/>
      </w:r>
    </w:p>
    <w:p w14:paraId="6EFBF84C" w14:textId="28F0D9DF" w:rsidR="000B3A72" w:rsidRPr="00CD5B87" w:rsidRDefault="000B3A72" w:rsidP="00EC6EAF">
      <w:pPr>
        <w:pStyle w:val="Naslov1"/>
      </w:pPr>
      <w:bookmarkStart w:id="12" w:name="_Toc14862484"/>
      <w:bookmarkStart w:id="13" w:name="_Toc204162370"/>
      <w:r w:rsidRPr="00EC5009">
        <w:lastRenderedPageBreak/>
        <w:t>OB</w:t>
      </w:r>
      <w:r w:rsidRPr="003E6AB6">
        <w:t>RAZLOŽENJE</w:t>
      </w:r>
      <w:r w:rsidR="006D68CD">
        <w:t xml:space="preserve"> </w:t>
      </w:r>
      <w:bookmarkEnd w:id="12"/>
      <w:r w:rsidR="00D43C2A">
        <w:t>POLU</w:t>
      </w:r>
      <w:r w:rsidR="008A44DE">
        <w:t>GODIŠNJEG IZVJEŠTAJA O IZVRŠENJU FINANCIJSKOG PLANA</w:t>
      </w:r>
      <w:bookmarkEnd w:id="13"/>
      <w:r w:rsidR="008A44DE">
        <w:t xml:space="preserve"> </w:t>
      </w:r>
    </w:p>
    <w:p w14:paraId="0AE2AF91" w14:textId="623CD2F9" w:rsidR="00C43B49" w:rsidRDefault="00C43B49" w:rsidP="00C43B49">
      <w:pPr>
        <w:spacing w:before="120" w:after="120"/>
        <w:jc w:val="both"/>
        <w:rPr>
          <w:rFonts w:cstheme="minorHAnsi"/>
        </w:rPr>
      </w:pPr>
      <w:r w:rsidRPr="007F3E75">
        <w:rPr>
          <w:rFonts w:cstheme="minorHAnsi"/>
        </w:rPr>
        <w:t xml:space="preserve">U općem i posebnom dijelu Prijedloga </w:t>
      </w:r>
      <w:r w:rsidR="00D43C2A">
        <w:rPr>
          <w:rFonts w:cstheme="minorHAnsi"/>
        </w:rPr>
        <w:t>polu</w:t>
      </w:r>
      <w:r>
        <w:rPr>
          <w:rFonts w:cstheme="minorHAnsi"/>
        </w:rPr>
        <w:t xml:space="preserve">godišnjeg </w:t>
      </w:r>
      <w:r w:rsidRPr="007F3E75">
        <w:rPr>
          <w:rFonts w:cstheme="minorHAnsi"/>
        </w:rPr>
        <w:t xml:space="preserve">izvještaja o izvršenju financijskog plana </w:t>
      </w:r>
      <w:r>
        <w:rPr>
          <w:rFonts w:cstheme="minorHAnsi"/>
        </w:rPr>
        <w:t>za 202</w:t>
      </w:r>
      <w:r w:rsidR="00B35521">
        <w:rPr>
          <w:rFonts w:cstheme="minorHAnsi"/>
        </w:rPr>
        <w:t>5</w:t>
      </w:r>
      <w:r>
        <w:rPr>
          <w:rFonts w:cstheme="minorHAnsi"/>
        </w:rPr>
        <w:t xml:space="preserve">. godinu </w:t>
      </w:r>
      <w:r w:rsidRPr="007F3E75">
        <w:rPr>
          <w:rFonts w:cstheme="minorHAnsi"/>
        </w:rPr>
        <w:t>prezentirani su podaci o planiranim prihodima i primic</w:t>
      </w:r>
      <w:r>
        <w:rPr>
          <w:rFonts w:cstheme="minorHAnsi"/>
        </w:rPr>
        <w:t>ima, rashodima i izdacima kroz i</w:t>
      </w:r>
      <w:r w:rsidRPr="007F3E75">
        <w:rPr>
          <w:rFonts w:cstheme="minorHAnsi"/>
        </w:rPr>
        <w:t xml:space="preserve">zvorni plan </w:t>
      </w:r>
      <w:r>
        <w:rPr>
          <w:rFonts w:cstheme="minorHAnsi"/>
        </w:rPr>
        <w:t>kao i</w:t>
      </w:r>
      <w:r w:rsidRPr="007F3E75">
        <w:rPr>
          <w:rFonts w:cstheme="minorHAnsi"/>
        </w:rPr>
        <w:t xml:space="preserve"> p</w:t>
      </w:r>
      <w:r>
        <w:rPr>
          <w:rFonts w:cstheme="minorHAnsi"/>
        </w:rPr>
        <w:t>odaci o njihovom</w:t>
      </w:r>
      <w:r w:rsidRPr="007F3E75">
        <w:rPr>
          <w:rFonts w:cstheme="minorHAnsi"/>
        </w:rPr>
        <w:t xml:space="preserve"> izvršenju u </w:t>
      </w:r>
      <w:r w:rsidR="005E6E6A">
        <w:rPr>
          <w:rFonts w:cstheme="minorHAnsi"/>
        </w:rPr>
        <w:t xml:space="preserve">prvom polugodištu </w:t>
      </w:r>
      <w:r w:rsidRPr="007F3E75">
        <w:rPr>
          <w:rFonts w:cstheme="minorHAnsi"/>
        </w:rPr>
        <w:t>202</w:t>
      </w:r>
      <w:r w:rsidR="00B35521">
        <w:rPr>
          <w:rFonts w:cstheme="minorHAnsi"/>
        </w:rPr>
        <w:t>5</w:t>
      </w:r>
      <w:r w:rsidRPr="007F3E75">
        <w:rPr>
          <w:rFonts w:cstheme="minorHAnsi"/>
        </w:rPr>
        <w:t xml:space="preserve">. </w:t>
      </w:r>
      <w:r>
        <w:rPr>
          <w:rFonts w:cstheme="minorHAnsi"/>
        </w:rPr>
        <w:t>godin</w:t>
      </w:r>
      <w:r w:rsidR="005E6E6A">
        <w:rPr>
          <w:rFonts w:cstheme="minorHAnsi"/>
        </w:rPr>
        <w:t>e</w:t>
      </w:r>
      <w:r>
        <w:rPr>
          <w:rFonts w:cstheme="minorHAnsi"/>
        </w:rPr>
        <w:t>. Sukladno Pravilniku, izvorni plan predstavlja zadnje izmjene i dopune plana za 202</w:t>
      </w:r>
      <w:r w:rsidR="00B35521">
        <w:rPr>
          <w:rFonts w:cstheme="minorHAnsi"/>
        </w:rPr>
        <w:t>5</w:t>
      </w:r>
      <w:r>
        <w:rPr>
          <w:rFonts w:cstheme="minorHAnsi"/>
        </w:rPr>
        <w:t xml:space="preserve">. godinu koje je usvojilo Upravno vijeće uz prethodnu suglasnost Županijske skupštine. U općem dijelu prikazani su </w:t>
      </w:r>
      <w:r w:rsidRPr="007F3E75">
        <w:rPr>
          <w:rFonts w:cstheme="minorHAnsi"/>
        </w:rPr>
        <w:t>usporedni podaci o ostvarenim prihodima i primicima, te iz</w:t>
      </w:r>
      <w:r>
        <w:rPr>
          <w:rFonts w:cstheme="minorHAnsi"/>
        </w:rPr>
        <w:t xml:space="preserve">vršenim rashodima i izdacima u </w:t>
      </w:r>
      <w:r w:rsidR="005E6E6A">
        <w:rPr>
          <w:rFonts w:cstheme="minorHAnsi"/>
        </w:rPr>
        <w:t xml:space="preserve">prvom polugodištu </w:t>
      </w:r>
      <w:r>
        <w:rPr>
          <w:rFonts w:cstheme="minorHAnsi"/>
        </w:rPr>
        <w:t>202</w:t>
      </w:r>
      <w:r w:rsidR="00B35521">
        <w:rPr>
          <w:rFonts w:cstheme="minorHAnsi"/>
        </w:rPr>
        <w:t>4</w:t>
      </w:r>
      <w:r w:rsidRPr="007F3E75">
        <w:rPr>
          <w:rFonts w:cstheme="minorHAnsi"/>
        </w:rPr>
        <w:t>. godin</w:t>
      </w:r>
      <w:r w:rsidR="005E6E6A">
        <w:rPr>
          <w:rFonts w:cstheme="minorHAnsi"/>
        </w:rPr>
        <w:t>e</w:t>
      </w:r>
      <w:r w:rsidRPr="007F3E75">
        <w:rPr>
          <w:rFonts w:cstheme="minorHAnsi"/>
        </w:rPr>
        <w:t>.</w:t>
      </w:r>
    </w:p>
    <w:p w14:paraId="708CE1DC" w14:textId="2A51BFFE" w:rsidR="000B3A72" w:rsidRDefault="000B3A72" w:rsidP="00BE7093">
      <w:pPr>
        <w:spacing w:after="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U nastavku slijedi obrazloženje ostvarenja prihoda</w:t>
      </w:r>
      <w:r w:rsidR="00060C53">
        <w:rPr>
          <w:rFonts w:cstheme="minorHAnsi"/>
        </w:rPr>
        <w:t xml:space="preserve"> i </w:t>
      </w:r>
      <w:r w:rsidR="00060C53" w:rsidRPr="007C0EC7">
        <w:rPr>
          <w:rFonts w:cstheme="minorHAnsi"/>
          <w:shd w:val="clear" w:color="auto" w:fill="FFFFFF" w:themeFill="background1"/>
        </w:rPr>
        <w:t>primitaka</w:t>
      </w:r>
      <w:r w:rsidR="00377A58" w:rsidRPr="007C0EC7">
        <w:rPr>
          <w:rFonts w:cstheme="minorHAnsi"/>
          <w:shd w:val="clear" w:color="auto" w:fill="FFFFFF" w:themeFill="background1"/>
        </w:rPr>
        <w:t>,</w:t>
      </w:r>
      <w:r w:rsidR="00377A58">
        <w:rPr>
          <w:rFonts w:cstheme="minorHAnsi"/>
        </w:rPr>
        <w:t xml:space="preserve"> </w:t>
      </w:r>
      <w:r w:rsidRPr="00CD5B87">
        <w:rPr>
          <w:rFonts w:cstheme="minorHAnsi"/>
        </w:rPr>
        <w:t>te i</w:t>
      </w:r>
      <w:r w:rsidR="006D68CD">
        <w:rPr>
          <w:rFonts w:cstheme="minorHAnsi"/>
        </w:rPr>
        <w:t xml:space="preserve">zvršenja rashoda i izdataka </w:t>
      </w:r>
      <w:r w:rsidR="005E6E6A">
        <w:rPr>
          <w:rFonts w:cstheme="minorHAnsi"/>
        </w:rPr>
        <w:t>u prvom polugodištu</w:t>
      </w:r>
      <w:r w:rsidR="006D68CD">
        <w:rPr>
          <w:rFonts w:cstheme="minorHAnsi"/>
        </w:rPr>
        <w:t xml:space="preserve"> </w:t>
      </w:r>
      <w:r w:rsidRPr="00CD5B87">
        <w:rPr>
          <w:rFonts w:cstheme="minorHAnsi"/>
        </w:rPr>
        <w:t>202</w:t>
      </w:r>
      <w:r w:rsidR="00B35521">
        <w:rPr>
          <w:rFonts w:cstheme="minorHAnsi"/>
        </w:rPr>
        <w:t>5</w:t>
      </w:r>
      <w:r w:rsidRPr="00CD5B87">
        <w:rPr>
          <w:rFonts w:cstheme="minorHAnsi"/>
        </w:rPr>
        <w:t>. godin</w:t>
      </w:r>
      <w:r w:rsidR="005E6E6A">
        <w:rPr>
          <w:rFonts w:cstheme="minorHAnsi"/>
        </w:rPr>
        <w:t>e</w:t>
      </w:r>
      <w:r w:rsidRPr="00CD5B87">
        <w:rPr>
          <w:rFonts w:cstheme="minorHAnsi"/>
        </w:rPr>
        <w:t xml:space="preserve"> u odnosu na planske veličine s obrazloženjem njihova ostvarenja i pojašnjenjem većih odstupanja u odnosu na plan kao i na izvršenje u is</w:t>
      </w:r>
      <w:r w:rsidR="000A0266">
        <w:rPr>
          <w:rFonts w:cstheme="minorHAnsi"/>
        </w:rPr>
        <w:t>tom razdoblju prethodne godine.</w:t>
      </w:r>
    </w:p>
    <w:p w14:paraId="0AEA19FF" w14:textId="0CDAE1FA" w:rsidR="000B3A72" w:rsidRPr="005E0D04" w:rsidRDefault="008A44DE" w:rsidP="00EC6EAF">
      <w:pPr>
        <w:pStyle w:val="Naslov2"/>
      </w:pPr>
      <w:bookmarkStart w:id="14" w:name="_Toc204162371"/>
      <w:r>
        <w:t>OBRAZLOŽENJE OPĆEG DIJELA IZVJEŠTAJA O IZVRŠENJU FINANCIJSKOG PLANA</w:t>
      </w:r>
      <w:bookmarkEnd w:id="14"/>
      <w:r>
        <w:t xml:space="preserve"> </w:t>
      </w:r>
    </w:p>
    <w:p w14:paraId="1E224EDD" w14:textId="1D0BAAEA" w:rsidR="0076058E" w:rsidRDefault="008A44DE" w:rsidP="00060C53">
      <w:pPr>
        <w:spacing w:after="120" w:line="240" w:lineRule="auto"/>
        <w:ind w:right="-57"/>
        <w:jc w:val="both"/>
        <w:rPr>
          <w:rFonts w:cstheme="minorHAnsi"/>
        </w:rPr>
      </w:pPr>
      <w:r>
        <w:rPr>
          <w:rFonts w:cstheme="minorHAnsi"/>
        </w:rPr>
        <w:t>U T</w:t>
      </w:r>
      <w:r w:rsidR="000B3A72" w:rsidRPr="00CD5B87">
        <w:rPr>
          <w:rFonts w:cstheme="minorHAnsi"/>
        </w:rPr>
        <w:t>ablici 1. koja slijedi daje se pregled ostvarenih prihoda</w:t>
      </w:r>
      <w:r w:rsidR="00377A58">
        <w:rPr>
          <w:rFonts w:cstheme="minorHAnsi"/>
        </w:rPr>
        <w:t xml:space="preserve"> i primitaka,</w:t>
      </w:r>
      <w:r w:rsidR="000B3A72" w:rsidRPr="00CD5B87">
        <w:rPr>
          <w:rFonts w:cstheme="minorHAnsi"/>
        </w:rPr>
        <w:t xml:space="preserve"> t</w:t>
      </w:r>
      <w:r w:rsidR="006E1F33">
        <w:rPr>
          <w:rFonts w:cstheme="minorHAnsi"/>
        </w:rPr>
        <w:t>e izvršenih rashoda i izdataka F</w:t>
      </w:r>
      <w:r w:rsidR="000B3A72" w:rsidRPr="00CD5B87">
        <w:rPr>
          <w:rFonts w:cstheme="minorHAnsi"/>
        </w:rPr>
        <w:t xml:space="preserve">inancijskog plana Županijske uprave za ceste Primorsko-goranske županije za </w:t>
      </w:r>
      <w:r w:rsidR="00321F64">
        <w:rPr>
          <w:rFonts w:cstheme="minorHAnsi"/>
        </w:rPr>
        <w:t xml:space="preserve">prvo polugodišnje </w:t>
      </w:r>
      <w:r w:rsidR="000B3A72" w:rsidRPr="00CD5B87">
        <w:rPr>
          <w:rFonts w:cstheme="minorHAnsi"/>
        </w:rPr>
        <w:t>202</w:t>
      </w:r>
      <w:r w:rsidR="00B35521">
        <w:rPr>
          <w:rFonts w:cstheme="minorHAnsi"/>
        </w:rPr>
        <w:t>5</w:t>
      </w:r>
      <w:r w:rsidR="002B0DEF">
        <w:rPr>
          <w:rFonts w:cstheme="minorHAnsi"/>
        </w:rPr>
        <w:t>. godin</w:t>
      </w:r>
      <w:r w:rsidR="00321F64">
        <w:rPr>
          <w:rFonts w:cstheme="minorHAnsi"/>
        </w:rPr>
        <w:t>e</w:t>
      </w:r>
      <w:r w:rsidR="000B3A72" w:rsidRPr="00CD5B87">
        <w:rPr>
          <w:rFonts w:cstheme="minorHAnsi"/>
        </w:rPr>
        <w:t xml:space="preserve"> s usporednim pokazateljima izvršenja u is</w:t>
      </w:r>
      <w:bookmarkStart w:id="15" w:name="_Toc14864203"/>
      <w:r w:rsidR="0076058E">
        <w:rPr>
          <w:rFonts w:cstheme="minorHAnsi"/>
        </w:rPr>
        <w:t>tom razdoblju prethodne godine.</w:t>
      </w:r>
    </w:p>
    <w:p w14:paraId="6B64FF95" w14:textId="612AFE51" w:rsidR="00B40FD8" w:rsidRDefault="0076058E" w:rsidP="00B40FD8">
      <w:pPr>
        <w:pStyle w:val="Opisslike"/>
        <w:keepNext/>
        <w:spacing w:after="120"/>
        <w:ind w:left="907" w:hanging="907"/>
        <w:jc w:val="both"/>
        <w:rPr>
          <w:rFonts w:cstheme="minorHAnsi"/>
          <w:i w:val="0"/>
          <w:color w:val="222A35" w:themeColor="text2" w:themeShade="80"/>
          <w:sz w:val="22"/>
          <w:szCs w:val="22"/>
        </w:rPr>
      </w:pPr>
      <w:bookmarkStart w:id="16" w:name="_Toc109651255"/>
      <w:bookmarkStart w:id="17" w:name="_Toc204162093"/>
      <w:bookmarkEnd w:id="15"/>
      <w:r w:rsidRPr="00782E0F">
        <w:rPr>
          <w:i w:val="0"/>
          <w:color w:val="222A35" w:themeColor="text2" w:themeShade="80"/>
          <w:sz w:val="22"/>
        </w:rPr>
        <w:t xml:space="preserve">Tablica </w:t>
      </w:r>
      <w:r w:rsidR="003C0277" w:rsidRPr="00782E0F">
        <w:rPr>
          <w:i w:val="0"/>
          <w:color w:val="222A35" w:themeColor="text2" w:themeShade="80"/>
          <w:sz w:val="22"/>
        </w:rPr>
        <w:fldChar w:fldCharType="begin"/>
      </w:r>
      <w:r w:rsidR="003C0277" w:rsidRPr="00782E0F">
        <w:rPr>
          <w:i w:val="0"/>
          <w:color w:val="222A35" w:themeColor="text2" w:themeShade="80"/>
          <w:sz w:val="22"/>
        </w:rPr>
        <w:instrText xml:space="preserve"> SEQ Tablica \* ARABIC </w:instrText>
      </w:r>
      <w:r w:rsidR="003C0277" w:rsidRPr="00782E0F">
        <w:rPr>
          <w:i w:val="0"/>
          <w:color w:val="222A35" w:themeColor="text2" w:themeShade="80"/>
          <w:sz w:val="22"/>
        </w:rPr>
        <w:fldChar w:fldCharType="separate"/>
      </w:r>
      <w:r w:rsidR="00E0332D">
        <w:rPr>
          <w:i w:val="0"/>
          <w:noProof/>
          <w:color w:val="222A35" w:themeColor="text2" w:themeShade="80"/>
          <w:sz w:val="22"/>
        </w:rPr>
        <w:t>1</w:t>
      </w:r>
      <w:r w:rsidR="003C0277" w:rsidRPr="00782E0F">
        <w:rPr>
          <w:i w:val="0"/>
          <w:color w:val="222A35" w:themeColor="text2" w:themeShade="80"/>
          <w:sz w:val="22"/>
        </w:rPr>
        <w:fldChar w:fldCharType="end"/>
      </w:r>
      <w:r w:rsidR="00C454EF" w:rsidRPr="00782E0F">
        <w:rPr>
          <w:i w:val="0"/>
          <w:color w:val="222A35" w:themeColor="text2" w:themeShade="80"/>
          <w:sz w:val="22"/>
        </w:rPr>
        <w:t>.</w:t>
      </w:r>
      <w:r w:rsidR="00383C19" w:rsidRPr="00782E0F">
        <w:rPr>
          <w:i w:val="0"/>
          <w:color w:val="222A35" w:themeColor="text2" w:themeShade="80"/>
          <w:sz w:val="22"/>
        </w:rPr>
        <w:t xml:space="preserve"> </w:t>
      </w:r>
      <w:r w:rsidRPr="00782E0F">
        <w:rPr>
          <w:i w:val="0"/>
          <w:color w:val="222A35" w:themeColor="text2" w:themeShade="80"/>
          <w:sz w:val="22"/>
        </w:rPr>
        <w:t xml:space="preserve">Izvršenje </w:t>
      </w:r>
      <w:r w:rsidR="006E1F33" w:rsidRPr="00782E0F">
        <w:rPr>
          <w:i w:val="0"/>
          <w:color w:val="222A35" w:themeColor="text2" w:themeShade="80"/>
          <w:sz w:val="22"/>
        </w:rPr>
        <w:t>f</w:t>
      </w:r>
      <w:r w:rsidR="00D10C51" w:rsidRPr="00782E0F">
        <w:rPr>
          <w:i w:val="0"/>
          <w:color w:val="222A35" w:themeColor="text2" w:themeShade="80"/>
          <w:sz w:val="22"/>
        </w:rPr>
        <w:t xml:space="preserve">inancijskog plana </w:t>
      </w:r>
      <w:r w:rsidR="00E245A8">
        <w:rPr>
          <w:i w:val="0"/>
          <w:color w:val="222A35" w:themeColor="text2" w:themeShade="80"/>
          <w:sz w:val="22"/>
        </w:rPr>
        <w:t>u prvom polugodištu</w:t>
      </w:r>
      <w:r w:rsidR="00321F64" w:rsidRPr="00782E0F">
        <w:rPr>
          <w:i w:val="0"/>
          <w:color w:val="222A35" w:themeColor="text2" w:themeShade="80"/>
          <w:sz w:val="22"/>
        </w:rPr>
        <w:t xml:space="preserve"> </w:t>
      </w:r>
      <w:r w:rsidRPr="00782E0F">
        <w:rPr>
          <w:i w:val="0"/>
          <w:color w:val="222A35" w:themeColor="text2" w:themeShade="80"/>
          <w:sz w:val="22"/>
          <w:szCs w:val="22"/>
        </w:rPr>
        <w:t>202</w:t>
      </w:r>
      <w:r w:rsidR="00B35521">
        <w:rPr>
          <w:i w:val="0"/>
          <w:color w:val="222A35" w:themeColor="text2" w:themeShade="80"/>
          <w:sz w:val="22"/>
          <w:szCs w:val="22"/>
        </w:rPr>
        <w:t>5</w:t>
      </w:r>
      <w:r w:rsidR="00D10C51" w:rsidRPr="00782E0F">
        <w:rPr>
          <w:i w:val="0"/>
          <w:color w:val="222A35" w:themeColor="text2" w:themeShade="80"/>
          <w:sz w:val="22"/>
          <w:szCs w:val="22"/>
        </w:rPr>
        <w:t>. godin</w:t>
      </w:r>
      <w:r w:rsidR="00321F64" w:rsidRPr="00782E0F">
        <w:rPr>
          <w:i w:val="0"/>
          <w:color w:val="222A35" w:themeColor="text2" w:themeShade="80"/>
          <w:sz w:val="22"/>
          <w:szCs w:val="22"/>
        </w:rPr>
        <w:t>e</w:t>
      </w:r>
      <w:r w:rsidRPr="00782E0F">
        <w:rPr>
          <w:i w:val="0"/>
          <w:color w:val="222A35" w:themeColor="text2" w:themeShade="80"/>
          <w:sz w:val="22"/>
          <w:szCs w:val="22"/>
        </w:rPr>
        <w:t xml:space="preserve"> s usporednim pokazateljima izvršenja </w:t>
      </w:r>
      <w:bookmarkEnd w:id="16"/>
      <w:r w:rsidR="00B40FD8" w:rsidRPr="00800303">
        <w:rPr>
          <w:rFonts w:cstheme="minorHAnsi"/>
          <w:i w:val="0"/>
          <w:color w:val="222A35" w:themeColor="text2" w:themeShade="80"/>
          <w:sz w:val="22"/>
          <w:szCs w:val="22"/>
        </w:rPr>
        <w:t>u istom razdoblju 202</w:t>
      </w:r>
      <w:r w:rsidR="00B35521">
        <w:rPr>
          <w:rFonts w:cstheme="minorHAnsi"/>
          <w:i w:val="0"/>
          <w:color w:val="222A35" w:themeColor="text2" w:themeShade="80"/>
          <w:sz w:val="22"/>
          <w:szCs w:val="22"/>
        </w:rPr>
        <w:t>4</w:t>
      </w:r>
      <w:r w:rsidR="00B40FD8" w:rsidRPr="00800303">
        <w:rPr>
          <w:rFonts w:cstheme="minorHAnsi"/>
          <w:i w:val="0"/>
          <w:color w:val="222A35" w:themeColor="text2" w:themeShade="80"/>
          <w:sz w:val="22"/>
          <w:szCs w:val="22"/>
        </w:rPr>
        <w:t>. godine</w:t>
      </w:r>
      <w:bookmarkEnd w:id="17"/>
    </w:p>
    <w:tbl>
      <w:tblPr>
        <w:tblW w:w="9865" w:type="dxa"/>
        <w:jc w:val="center"/>
        <w:tblLook w:val="04A0" w:firstRow="1" w:lastRow="0" w:firstColumn="1" w:lastColumn="0" w:noHBand="0" w:noVBand="1"/>
      </w:tblPr>
      <w:tblGrid>
        <w:gridCol w:w="774"/>
        <w:gridCol w:w="3911"/>
        <w:gridCol w:w="1231"/>
        <w:gridCol w:w="1271"/>
        <w:gridCol w:w="1180"/>
        <w:gridCol w:w="719"/>
        <w:gridCol w:w="779"/>
      </w:tblGrid>
      <w:tr w:rsidR="006D2768" w:rsidRPr="006D2768" w14:paraId="0BFB28EB" w14:textId="77777777" w:rsidTr="006D2768">
        <w:trPr>
          <w:trHeight w:val="72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FF4A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9560" w14:textId="283BCCE4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3A88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Ostvarenje/</w:t>
            </w: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Izvršenje </w:t>
            </w: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I-VI 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73DE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0900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Ostvarenje/</w:t>
            </w: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Izvršenje </w:t>
            </w: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I-VI 2025.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40DB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5./3.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F524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5./4. </w:t>
            </w:r>
          </w:p>
        </w:tc>
      </w:tr>
      <w:tr w:rsidR="006D2768" w:rsidRPr="006D2768" w14:paraId="6B47AB48" w14:textId="77777777" w:rsidTr="006D2768">
        <w:trPr>
          <w:trHeight w:val="2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73BF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3EF4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E4F1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C447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7949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C6C6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914A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6D2768" w:rsidRPr="006D2768" w14:paraId="443D4755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782DC79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50D66A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23E6CC8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6.591.703,24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FE0316A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17.301.975,05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26D4738B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8.093.580,69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F6172A3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122,78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877BA93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46,78</w:t>
            </w:r>
          </w:p>
        </w:tc>
      </w:tr>
      <w:tr w:rsidR="006D2768" w:rsidRPr="006D2768" w14:paraId="483ACBCC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E66EFA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3C6AA1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4D35512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6.591.703,24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A7337F4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17.301.975,05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136701E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8.093.580,69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0781EFE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122,78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B49C5EC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46,78</w:t>
            </w:r>
          </w:p>
        </w:tc>
      </w:tr>
      <w:tr w:rsidR="006D2768" w:rsidRPr="006D2768" w14:paraId="0C281BCC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1B84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1.1.1.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5896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07730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6.591.703,24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960A6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17.290.223,97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DB605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8.093.220,69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C9F14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122,78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FA41F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46,81</w:t>
            </w:r>
          </w:p>
        </w:tc>
      </w:tr>
      <w:tr w:rsidR="006D2768" w:rsidRPr="006D2768" w14:paraId="7FE51B3A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0F1D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1.1.2.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B99B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442B4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FD39A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11.751,08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5771C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767E7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9F6FC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3,06</w:t>
            </w:r>
          </w:p>
        </w:tc>
      </w:tr>
      <w:tr w:rsidR="006D2768" w:rsidRPr="006D2768" w14:paraId="629AE210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527FAD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EF8D036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zaduženja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588295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96553D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50C719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FF2DDEE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338BC40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D2768" w:rsidRPr="006D2768" w14:paraId="3F5F1E51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ADF7D51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D76FC9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UKUPNI RASHODI I IZDACI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5E82019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6.444.045,62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524541F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19.942.687,12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BBF877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8.493.754,45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F37A07B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131,81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241471D1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42,59</w:t>
            </w:r>
          </w:p>
        </w:tc>
      </w:tr>
      <w:tr w:rsidR="006D2768" w:rsidRPr="006D2768" w14:paraId="00DDF910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1AD687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A4CF5D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4B3DFDA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6.244.045,62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39F8975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19.542.687,12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A69307B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8.293.754,45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075DCDD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132,83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4A6DFA1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42,44</w:t>
            </w:r>
          </w:p>
        </w:tc>
      </w:tr>
      <w:tr w:rsidR="006D2768" w:rsidRPr="006D2768" w14:paraId="5747CF43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788F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2.1.1.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E411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AFE26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5.726.552,10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4C475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15.498.283,46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19DC2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6.769.504,80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E12D6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118,21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58337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43,68</w:t>
            </w:r>
          </w:p>
        </w:tc>
      </w:tr>
      <w:tr w:rsidR="006D2768" w:rsidRPr="006D2768" w14:paraId="48901AC4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27F6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2.1.2.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F46A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15DA7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517.493,52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28CA8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4.044.403,66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B03B0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1.524.249,65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95E0A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294,54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97D13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37,69</w:t>
            </w:r>
          </w:p>
        </w:tc>
      </w:tr>
      <w:tr w:rsidR="006D2768" w:rsidRPr="006D2768" w14:paraId="0A3B5A13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5FBB60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A43A7B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otplatu zajmova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16423AC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9B97706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B17DD32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D8DB3F5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03DB450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6D2768" w:rsidRPr="006D2768" w14:paraId="2C51D086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1FB4BDE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9A49A2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PRENESENA SREDSTVA IZ PRETHODNE GODINE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07985A" w14:textId="25223E4E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3.382.264,97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06C9FFF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2.640.712,07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42B14F" w14:textId="77777777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2.640.712,07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398FBF7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78,08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5F070B85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D2768" w:rsidRPr="006D2768" w14:paraId="47C6F94F" w14:textId="77777777" w:rsidTr="006D2768">
        <w:trPr>
          <w:trHeight w:val="34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B96B09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4C279D" w14:textId="77777777" w:rsidR="006D2768" w:rsidRPr="006D2768" w:rsidRDefault="006D2768" w:rsidP="006D27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 / MANJAK PRIHODA (1-2+3)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9888BA" w14:textId="5C9011A8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3.529.922,59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C2277B" w14:textId="24F78C3A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716057" w14:textId="49498F2F" w:rsidR="006D2768" w:rsidRPr="006D2768" w:rsidRDefault="006D2768" w:rsidP="006D276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2.240.538,31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289CE75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63,47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5BC24B13" w14:textId="77777777" w:rsidR="006D2768" w:rsidRPr="006D2768" w:rsidRDefault="006D2768" w:rsidP="006D27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56DE9AD4" w14:textId="77777777" w:rsidR="004603A6" w:rsidRPr="00811D99" w:rsidRDefault="004603A6" w:rsidP="004603A6">
      <w:pPr>
        <w:spacing w:before="120" w:after="120" w:line="240" w:lineRule="auto"/>
        <w:jc w:val="both"/>
        <w:rPr>
          <w:rFonts w:cstheme="minorHAnsi"/>
        </w:rPr>
      </w:pPr>
      <w:bookmarkStart w:id="18" w:name="_Toc14862486"/>
      <w:r w:rsidRPr="00811D99">
        <w:rPr>
          <w:rFonts w:cstheme="minorHAnsi"/>
        </w:rPr>
        <w:t>Iz prezentiranih podataka proizlazi sljedeće:</w:t>
      </w:r>
    </w:p>
    <w:p w14:paraId="34E6A888" w14:textId="2B543781" w:rsidR="004603A6" w:rsidRPr="00811D99" w:rsidRDefault="004603A6" w:rsidP="004603A6">
      <w:pPr>
        <w:pStyle w:val="Odlomakpopisa"/>
        <w:numPr>
          <w:ilvl w:val="0"/>
          <w:numId w:val="43"/>
        </w:numPr>
        <w:spacing w:after="0"/>
        <w:ind w:left="113" w:hanging="113"/>
        <w:jc w:val="both"/>
        <w:rPr>
          <w:rFonts w:cstheme="minorHAnsi"/>
        </w:rPr>
      </w:pPr>
      <w:r w:rsidRPr="00811D99">
        <w:rPr>
          <w:rFonts w:cstheme="minorHAnsi"/>
        </w:rPr>
        <w:t>ukupno raspoloživa sredstva (prihodi i primici tekuće godine uvećani za preneseni višak prihoda iz prethodne godine) Županijske uprave za ceste Primorsko-goranske županije u prvom polugodištu 202</w:t>
      </w:r>
      <w:r w:rsidR="00B31781" w:rsidRPr="00811D99">
        <w:rPr>
          <w:rFonts w:cstheme="minorHAnsi"/>
        </w:rPr>
        <w:t>5</w:t>
      </w:r>
      <w:r w:rsidRPr="00811D99">
        <w:rPr>
          <w:rFonts w:cstheme="minorHAnsi"/>
        </w:rPr>
        <w:t xml:space="preserve">. godine iznosila su </w:t>
      </w:r>
      <w:r w:rsidR="00811D99" w:rsidRPr="00811D99">
        <w:rPr>
          <w:rFonts w:cstheme="minorHAnsi"/>
        </w:rPr>
        <w:t xml:space="preserve">10.734.292,76 </w:t>
      </w:r>
      <w:r w:rsidRPr="00811D99">
        <w:rPr>
          <w:rFonts w:cstheme="minorHAnsi"/>
        </w:rPr>
        <w:t>eur</w:t>
      </w:r>
      <w:r w:rsidR="00811D99" w:rsidRPr="00811D99">
        <w:rPr>
          <w:rFonts w:cstheme="minorHAnsi"/>
        </w:rPr>
        <w:t>a</w:t>
      </w:r>
      <w:r w:rsidRPr="00811D99">
        <w:rPr>
          <w:rFonts w:cstheme="minorHAnsi"/>
        </w:rPr>
        <w:t xml:space="preserve"> ili </w:t>
      </w:r>
      <w:r w:rsidR="00811D99" w:rsidRPr="00811D99">
        <w:rPr>
          <w:rFonts w:cstheme="minorHAnsi"/>
        </w:rPr>
        <w:t>53,83</w:t>
      </w:r>
      <w:r w:rsidRPr="00811D99">
        <w:rPr>
          <w:rFonts w:cstheme="minorHAnsi"/>
        </w:rPr>
        <w:t>% planiranih raspoloživih sredstava na razini godine,</w:t>
      </w:r>
    </w:p>
    <w:p w14:paraId="0FDC4A5E" w14:textId="49AA5DC6" w:rsidR="004603A6" w:rsidRPr="00B31781" w:rsidRDefault="004603A6" w:rsidP="004603A6">
      <w:pPr>
        <w:pStyle w:val="Odlomakpopisa"/>
        <w:numPr>
          <w:ilvl w:val="0"/>
          <w:numId w:val="43"/>
        </w:numPr>
        <w:spacing w:after="0"/>
        <w:ind w:left="113" w:hanging="113"/>
        <w:jc w:val="both"/>
        <w:rPr>
          <w:rFonts w:cstheme="minorHAnsi"/>
        </w:rPr>
      </w:pPr>
      <w:r w:rsidRPr="00B31781">
        <w:rPr>
          <w:rFonts w:cstheme="minorHAnsi"/>
        </w:rPr>
        <w:t>prihodi i primici tekuće godine u prvom polugodištu 202</w:t>
      </w:r>
      <w:r w:rsidR="00B31781" w:rsidRPr="00B31781">
        <w:rPr>
          <w:rFonts w:cstheme="minorHAnsi"/>
        </w:rPr>
        <w:t>5</w:t>
      </w:r>
      <w:r w:rsidRPr="00B31781">
        <w:rPr>
          <w:rFonts w:cstheme="minorHAnsi"/>
        </w:rPr>
        <w:t xml:space="preserve">. godine ostvareni su u iznosu od </w:t>
      </w:r>
      <w:r w:rsidR="00B31781" w:rsidRPr="00B31781">
        <w:rPr>
          <w:rFonts w:cstheme="minorHAnsi"/>
        </w:rPr>
        <w:t>8.093.580,69</w:t>
      </w:r>
      <w:r w:rsidRPr="00B31781">
        <w:rPr>
          <w:rFonts w:cstheme="minorHAnsi"/>
        </w:rPr>
        <w:t xml:space="preserve"> eur</w:t>
      </w:r>
      <w:r w:rsidR="00B31781" w:rsidRPr="00B31781">
        <w:rPr>
          <w:rFonts w:cstheme="minorHAnsi"/>
        </w:rPr>
        <w:t>a</w:t>
      </w:r>
      <w:r w:rsidRPr="00B31781">
        <w:rPr>
          <w:rFonts w:cstheme="minorHAnsi"/>
        </w:rPr>
        <w:t xml:space="preserve">, odnosno </w:t>
      </w:r>
      <w:r w:rsidR="00B31781" w:rsidRPr="00B31781">
        <w:rPr>
          <w:rFonts w:cstheme="minorHAnsi"/>
        </w:rPr>
        <w:t>46,78</w:t>
      </w:r>
      <w:r w:rsidRPr="00B31781">
        <w:rPr>
          <w:rFonts w:cstheme="minorHAnsi"/>
        </w:rPr>
        <w:t>% godišnjeg plana,</w:t>
      </w:r>
    </w:p>
    <w:p w14:paraId="111DAD47" w14:textId="301D0217" w:rsidR="004603A6" w:rsidRPr="00B31781" w:rsidRDefault="004603A6" w:rsidP="004603A6">
      <w:pPr>
        <w:pStyle w:val="Odlomakpopisa"/>
        <w:numPr>
          <w:ilvl w:val="0"/>
          <w:numId w:val="43"/>
        </w:numPr>
        <w:spacing w:after="0"/>
        <w:ind w:left="113" w:hanging="113"/>
        <w:jc w:val="both"/>
        <w:rPr>
          <w:rFonts w:cstheme="minorHAnsi"/>
        </w:rPr>
      </w:pPr>
      <w:r w:rsidRPr="00B31781">
        <w:rPr>
          <w:rFonts w:cstheme="minorHAnsi"/>
        </w:rPr>
        <w:t>ukupni rashodi i izdaci u prvom polugodištu 202</w:t>
      </w:r>
      <w:r w:rsidR="00B31781" w:rsidRPr="00B31781">
        <w:rPr>
          <w:rFonts w:cstheme="minorHAnsi"/>
        </w:rPr>
        <w:t>5</w:t>
      </w:r>
      <w:r w:rsidRPr="00B31781">
        <w:rPr>
          <w:rFonts w:cstheme="minorHAnsi"/>
        </w:rPr>
        <w:t xml:space="preserve">. godine izvršeni su u iznosu od </w:t>
      </w:r>
      <w:r w:rsidR="00B31781" w:rsidRPr="00B31781">
        <w:rPr>
          <w:rFonts w:cstheme="minorHAnsi"/>
        </w:rPr>
        <w:t>8.493.754,45</w:t>
      </w:r>
      <w:r w:rsidRPr="00B31781">
        <w:rPr>
          <w:rFonts w:cstheme="minorHAnsi"/>
        </w:rPr>
        <w:t xml:space="preserve"> eur</w:t>
      </w:r>
      <w:r w:rsidR="00B31781" w:rsidRPr="00B31781">
        <w:rPr>
          <w:rFonts w:cstheme="minorHAnsi"/>
        </w:rPr>
        <w:t>a</w:t>
      </w:r>
      <w:r w:rsidRPr="00B31781">
        <w:rPr>
          <w:rFonts w:cstheme="minorHAnsi"/>
        </w:rPr>
        <w:t xml:space="preserve">, odnosno </w:t>
      </w:r>
      <w:r w:rsidR="00B31781" w:rsidRPr="00B31781">
        <w:rPr>
          <w:rFonts w:cstheme="minorHAnsi"/>
        </w:rPr>
        <w:t>42,59</w:t>
      </w:r>
      <w:r w:rsidRPr="00B31781">
        <w:rPr>
          <w:rFonts w:cstheme="minorHAnsi"/>
        </w:rPr>
        <w:t>% godišnjeg plana,</w:t>
      </w:r>
    </w:p>
    <w:p w14:paraId="3A8D27F4" w14:textId="56A86122" w:rsidR="004603A6" w:rsidRPr="00B31781" w:rsidRDefault="004603A6" w:rsidP="004603A6">
      <w:pPr>
        <w:pStyle w:val="Odlomakpopisa"/>
        <w:numPr>
          <w:ilvl w:val="0"/>
          <w:numId w:val="43"/>
        </w:numPr>
        <w:spacing w:after="0"/>
        <w:ind w:left="113" w:hanging="113"/>
        <w:jc w:val="both"/>
        <w:rPr>
          <w:rFonts w:cstheme="minorHAnsi"/>
        </w:rPr>
      </w:pPr>
      <w:r w:rsidRPr="00B31781">
        <w:rPr>
          <w:rFonts w:cstheme="minorHAnsi"/>
        </w:rPr>
        <w:t>razlika između raspoloživih sredstava u prvom polugodištu 202</w:t>
      </w:r>
      <w:r w:rsidR="00B31781" w:rsidRPr="00B31781">
        <w:rPr>
          <w:rFonts w:cstheme="minorHAnsi"/>
        </w:rPr>
        <w:t>5</w:t>
      </w:r>
      <w:r w:rsidRPr="00B31781">
        <w:rPr>
          <w:rFonts w:cstheme="minorHAnsi"/>
        </w:rPr>
        <w:t xml:space="preserve">. godine i izvršenih rashoda i izdataka iznosi </w:t>
      </w:r>
      <w:r w:rsidR="00B31781" w:rsidRPr="00B31781">
        <w:rPr>
          <w:rFonts w:cstheme="minorHAnsi"/>
        </w:rPr>
        <w:t>2.240.538,31</w:t>
      </w:r>
      <w:r w:rsidRPr="00B31781">
        <w:rPr>
          <w:rFonts w:cstheme="minorHAnsi"/>
        </w:rPr>
        <w:t xml:space="preserve"> eur</w:t>
      </w:r>
      <w:r w:rsidR="00B70EFB">
        <w:rPr>
          <w:rFonts w:cstheme="minorHAnsi"/>
        </w:rPr>
        <w:t>a</w:t>
      </w:r>
      <w:r w:rsidRPr="00B31781">
        <w:rPr>
          <w:rFonts w:cstheme="minorHAnsi"/>
        </w:rPr>
        <w:t xml:space="preserve"> (rezultat poslovanja prvog polugodišta 202</w:t>
      </w:r>
      <w:r w:rsidR="00B31781" w:rsidRPr="00B31781">
        <w:rPr>
          <w:rFonts w:cstheme="minorHAnsi"/>
        </w:rPr>
        <w:t>5</w:t>
      </w:r>
      <w:r w:rsidRPr="00B31781">
        <w:rPr>
          <w:rFonts w:cstheme="minorHAnsi"/>
        </w:rPr>
        <w:t>. godine).</w:t>
      </w:r>
    </w:p>
    <w:p w14:paraId="54428718" w14:textId="77777777" w:rsidR="004603A6" w:rsidRPr="00B31781" w:rsidRDefault="004603A6" w:rsidP="004603A6">
      <w:pPr>
        <w:spacing w:before="120" w:after="0" w:line="257" w:lineRule="auto"/>
        <w:jc w:val="both"/>
        <w:rPr>
          <w:rFonts w:cstheme="minorHAnsi"/>
        </w:rPr>
      </w:pPr>
      <w:r w:rsidRPr="00B31781">
        <w:rPr>
          <w:rFonts w:cstheme="minorHAnsi"/>
        </w:rPr>
        <w:lastRenderedPageBreak/>
        <w:t>U nastavku se daje obrazloženje ostvarenih prihoda te izvršenja rashoda i izdataka u odnosu na izvorni plan.</w:t>
      </w:r>
    </w:p>
    <w:p w14:paraId="53AD97CD" w14:textId="7481ACF1" w:rsidR="005E0D04" w:rsidRPr="00876748" w:rsidRDefault="00800303" w:rsidP="00800303">
      <w:pPr>
        <w:pStyle w:val="Naslov3"/>
      </w:pPr>
      <w:bookmarkStart w:id="19" w:name="_Toc204162372"/>
      <w:bookmarkEnd w:id="18"/>
      <w:r w:rsidRPr="00800303">
        <w:t>OBRAZLOŽENJE</w:t>
      </w:r>
      <w:r>
        <w:t xml:space="preserve"> OSTVARENJA PRIHODA</w:t>
      </w:r>
      <w:r w:rsidR="005E0D04" w:rsidRPr="00876748">
        <w:t xml:space="preserve"> I PRIMI</w:t>
      </w:r>
      <w:r>
        <w:t>TAKA</w:t>
      </w:r>
      <w:bookmarkEnd w:id="19"/>
    </w:p>
    <w:p w14:paraId="42F4D06C" w14:textId="14A33650" w:rsidR="000B3A72" w:rsidRPr="005D1D26" w:rsidRDefault="004A3984" w:rsidP="00CB1707">
      <w:pPr>
        <w:spacing w:before="120" w:after="120" w:line="240" w:lineRule="auto"/>
        <w:jc w:val="both"/>
        <w:rPr>
          <w:rFonts w:cstheme="minorHAnsi"/>
        </w:rPr>
      </w:pPr>
      <w:r w:rsidRPr="005D1D26">
        <w:rPr>
          <w:rFonts w:cstheme="minorHAnsi"/>
          <w:b/>
        </w:rPr>
        <w:t xml:space="preserve">Prihode </w:t>
      </w:r>
      <w:r w:rsidR="00A84943" w:rsidRPr="005D1D26">
        <w:rPr>
          <w:rFonts w:cstheme="minorHAnsi"/>
          <w:b/>
        </w:rPr>
        <w:t>i primitke</w:t>
      </w:r>
      <w:r w:rsidR="00A84943" w:rsidRPr="005D1D26">
        <w:rPr>
          <w:rFonts w:cstheme="minorHAnsi"/>
        </w:rPr>
        <w:t xml:space="preserve"> </w:t>
      </w:r>
      <w:r w:rsidRPr="005D1D26">
        <w:rPr>
          <w:rFonts w:cstheme="minorHAnsi"/>
        </w:rPr>
        <w:t>Županijske uprave</w:t>
      </w:r>
      <w:r w:rsidR="000B3A72" w:rsidRPr="005D1D26">
        <w:rPr>
          <w:rFonts w:cstheme="minorHAnsi"/>
        </w:rPr>
        <w:t xml:space="preserve"> za ceste Primorsko-goranske županije u </w:t>
      </w:r>
      <w:r w:rsidR="00321F64" w:rsidRPr="005D1D26">
        <w:rPr>
          <w:rFonts w:cstheme="minorHAnsi"/>
        </w:rPr>
        <w:t>prvo</w:t>
      </w:r>
      <w:r w:rsidR="006639B4" w:rsidRPr="005D1D26">
        <w:rPr>
          <w:rFonts w:cstheme="minorHAnsi"/>
        </w:rPr>
        <w:t>m</w:t>
      </w:r>
      <w:r w:rsidR="00321F64" w:rsidRPr="005D1D26">
        <w:rPr>
          <w:rFonts w:cstheme="minorHAnsi"/>
        </w:rPr>
        <w:t xml:space="preserve"> polugodištu </w:t>
      </w:r>
      <w:r w:rsidR="000B3A72" w:rsidRPr="005D1D26">
        <w:rPr>
          <w:rFonts w:cstheme="minorHAnsi"/>
        </w:rPr>
        <w:t>202</w:t>
      </w:r>
      <w:r w:rsidR="00B35521" w:rsidRPr="005D1D26">
        <w:rPr>
          <w:rFonts w:cstheme="minorHAnsi"/>
        </w:rPr>
        <w:t>5</w:t>
      </w:r>
      <w:r w:rsidR="000B3A72" w:rsidRPr="005D1D26">
        <w:rPr>
          <w:rFonts w:cstheme="minorHAnsi"/>
        </w:rPr>
        <w:t>. godin</w:t>
      </w:r>
      <w:r w:rsidR="00321F64" w:rsidRPr="005D1D26">
        <w:rPr>
          <w:rFonts w:cstheme="minorHAnsi"/>
        </w:rPr>
        <w:t>e</w:t>
      </w:r>
      <w:r w:rsidR="000B3A72" w:rsidRPr="005D1D26">
        <w:rPr>
          <w:rFonts w:cstheme="minorHAnsi"/>
        </w:rPr>
        <w:t xml:space="preserve"> čine prihodi p</w:t>
      </w:r>
      <w:r w:rsidR="00CB1707" w:rsidRPr="005D1D26">
        <w:rPr>
          <w:rFonts w:cstheme="minorHAnsi"/>
        </w:rPr>
        <w:t xml:space="preserve">oslovanja u iznosu od </w:t>
      </w:r>
      <w:r w:rsidR="005D1D26" w:rsidRPr="005D1D26">
        <w:rPr>
          <w:rFonts w:cstheme="minorHAnsi"/>
        </w:rPr>
        <w:t>8.093.220,69</w:t>
      </w:r>
      <w:r w:rsidR="002B0DEF" w:rsidRPr="005D1D26">
        <w:rPr>
          <w:rFonts w:cstheme="minorHAnsi"/>
        </w:rPr>
        <w:t xml:space="preserve"> eur</w:t>
      </w:r>
      <w:r w:rsidR="005D1D26" w:rsidRPr="005D1D26">
        <w:rPr>
          <w:rFonts w:cstheme="minorHAnsi"/>
        </w:rPr>
        <w:t>a</w:t>
      </w:r>
      <w:r w:rsidR="005D1D26">
        <w:rPr>
          <w:rFonts w:cstheme="minorHAnsi"/>
        </w:rPr>
        <w:t xml:space="preserve"> i</w:t>
      </w:r>
      <w:r w:rsidR="00800303" w:rsidRPr="005D1D26">
        <w:rPr>
          <w:rFonts w:cstheme="minorHAnsi"/>
        </w:rPr>
        <w:t xml:space="preserve"> </w:t>
      </w:r>
      <w:r w:rsidR="005D1D26">
        <w:rPr>
          <w:rFonts w:cstheme="minorHAnsi"/>
        </w:rPr>
        <w:t>p</w:t>
      </w:r>
      <w:r w:rsidR="001675BC" w:rsidRPr="005D1D26">
        <w:rPr>
          <w:rFonts w:cstheme="minorHAnsi"/>
        </w:rPr>
        <w:t>rihodi od prodaje nefinancijske</w:t>
      </w:r>
      <w:r w:rsidR="002B0DEF" w:rsidRPr="005D1D26">
        <w:rPr>
          <w:rFonts w:cstheme="minorHAnsi"/>
        </w:rPr>
        <w:t xml:space="preserve"> imovine u </w:t>
      </w:r>
      <w:r w:rsidR="005D1D26">
        <w:rPr>
          <w:rFonts w:cstheme="minorHAnsi"/>
        </w:rPr>
        <w:t xml:space="preserve">iznosu od 360,00 eura. Primici od financijske imovine i zaduživanja u prvom polugodištu </w:t>
      </w:r>
      <w:r w:rsidR="00665F4F">
        <w:rPr>
          <w:rFonts w:cstheme="minorHAnsi"/>
        </w:rPr>
        <w:t>2</w:t>
      </w:r>
      <w:r w:rsidR="00321F64" w:rsidRPr="005D1D26">
        <w:rPr>
          <w:rFonts w:cstheme="minorHAnsi"/>
        </w:rPr>
        <w:t>02</w:t>
      </w:r>
      <w:r w:rsidR="00665F4F">
        <w:rPr>
          <w:rFonts w:cstheme="minorHAnsi"/>
        </w:rPr>
        <w:t>5</w:t>
      </w:r>
      <w:r w:rsidR="00321F64" w:rsidRPr="005D1D26">
        <w:rPr>
          <w:rFonts w:cstheme="minorHAnsi"/>
        </w:rPr>
        <w:t>. godine nisu</w:t>
      </w:r>
      <w:r w:rsidR="00665F4F">
        <w:rPr>
          <w:rFonts w:cstheme="minorHAnsi"/>
        </w:rPr>
        <w:t xml:space="preserve"> ostvareni</w:t>
      </w:r>
      <w:r w:rsidR="00ED355F" w:rsidRPr="005D1D26">
        <w:rPr>
          <w:rFonts w:cstheme="minorHAnsi"/>
        </w:rPr>
        <w:t>.</w:t>
      </w:r>
    </w:p>
    <w:p w14:paraId="5B2235B9" w14:textId="0CB49F3A" w:rsidR="006A02B2" w:rsidRPr="005D1D26" w:rsidRDefault="006B082F" w:rsidP="00CB1707">
      <w:pPr>
        <w:spacing w:before="120" w:after="120" w:line="240" w:lineRule="auto"/>
        <w:jc w:val="both"/>
        <w:rPr>
          <w:rFonts w:cstheme="minorHAnsi"/>
        </w:rPr>
      </w:pPr>
      <w:r w:rsidRPr="005D1D26">
        <w:rPr>
          <w:rFonts w:cstheme="minorHAnsi"/>
        </w:rPr>
        <w:t>U T</w:t>
      </w:r>
      <w:r w:rsidR="006A02B2" w:rsidRPr="005D1D26">
        <w:rPr>
          <w:rFonts w:cstheme="minorHAnsi"/>
        </w:rPr>
        <w:t xml:space="preserve">ablici 2. koja slijedi daje se pregled ostvarenih prihoda </w:t>
      </w:r>
      <w:r w:rsidR="005C26D3" w:rsidRPr="005D1D26">
        <w:rPr>
          <w:rFonts w:cstheme="minorHAnsi"/>
        </w:rPr>
        <w:t xml:space="preserve">i primitaka </w:t>
      </w:r>
      <w:r w:rsidR="006A02B2" w:rsidRPr="005D1D26">
        <w:rPr>
          <w:rFonts w:cstheme="minorHAnsi"/>
        </w:rPr>
        <w:t>Županijske uprave za ceste</w:t>
      </w:r>
      <w:r w:rsidR="002B0DEF" w:rsidRPr="005D1D26">
        <w:rPr>
          <w:rFonts w:cstheme="minorHAnsi"/>
        </w:rPr>
        <w:t xml:space="preserve"> Primorsko-goranske županije </w:t>
      </w:r>
      <w:r w:rsidR="00ED355F" w:rsidRPr="005D1D26">
        <w:rPr>
          <w:rFonts w:cstheme="minorHAnsi"/>
        </w:rPr>
        <w:t>za prvo polugodište 202</w:t>
      </w:r>
      <w:r w:rsidR="00665F4F">
        <w:rPr>
          <w:rFonts w:cstheme="minorHAnsi"/>
        </w:rPr>
        <w:t>5</w:t>
      </w:r>
      <w:r w:rsidR="00ED355F" w:rsidRPr="005D1D26">
        <w:rPr>
          <w:rFonts w:cstheme="minorHAnsi"/>
        </w:rPr>
        <w:t>. godine</w:t>
      </w:r>
      <w:r w:rsidR="006A02B2" w:rsidRPr="005D1D26">
        <w:rPr>
          <w:rFonts w:cstheme="minorHAnsi"/>
        </w:rPr>
        <w:t xml:space="preserve"> s usporednim pokazateljima ostvarenja u</w:t>
      </w:r>
      <w:r w:rsidR="00ED355F" w:rsidRPr="005D1D26">
        <w:rPr>
          <w:rFonts w:cstheme="minorHAnsi"/>
        </w:rPr>
        <w:t xml:space="preserve"> istom razdoblju </w:t>
      </w:r>
      <w:r w:rsidR="006A02B2" w:rsidRPr="005D1D26">
        <w:rPr>
          <w:rFonts w:cstheme="minorHAnsi"/>
        </w:rPr>
        <w:t>202</w:t>
      </w:r>
      <w:r w:rsidR="009153B0">
        <w:rPr>
          <w:rFonts w:cstheme="minorHAnsi"/>
        </w:rPr>
        <w:t>4</w:t>
      </w:r>
      <w:r w:rsidR="006A02B2" w:rsidRPr="005D1D26">
        <w:rPr>
          <w:rFonts w:cstheme="minorHAnsi"/>
        </w:rPr>
        <w:t>. godin</w:t>
      </w:r>
      <w:r w:rsidR="00ED355F" w:rsidRPr="005D1D26">
        <w:rPr>
          <w:rFonts w:cstheme="minorHAnsi"/>
        </w:rPr>
        <w:t>e</w:t>
      </w:r>
      <w:r w:rsidR="006A02B2" w:rsidRPr="005D1D26">
        <w:rPr>
          <w:rFonts w:cstheme="minorHAnsi"/>
        </w:rPr>
        <w:t>, te grafički</w:t>
      </w:r>
      <w:r w:rsidRPr="005D1D26">
        <w:rPr>
          <w:rFonts w:cstheme="minorHAnsi"/>
        </w:rPr>
        <w:t xml:space="preserve"> prikaz u G</w:t>
      </w:r>
      <w:r w:rsidR="006A02B2" w:rsidRPr="005D1D26">
        <w:rPr>
          <w:rFonts w:cstheme="minorHAnsi"/>
        </w:rPr>
        <w:t>rafikonu 1.</w:t>
      </w:r>
    </w:p>
    <w:p w14:paraId="462063E6" w14:textId="342BE14D" w:rsidR="000B3A72" w:rsidRDefault="000B3A72" w:rsidP="00F8051A">
      <w:pPr>
        <w:pStyle w:val="Opisslike"/>
        <w:keepNext/>
        <w:spacing w:after="120"/>
        <w:ind w:left="964" w:hanging="964"/>
        <w:jc w:val="both"/>
        <w:rPr>
          <w:rFonts w:cstheme="minorHAnsi"/>
          <w:i w:val="0"/>
          <w:color w:val="222A35" w:themeColor="text2" w:themeShade="80"/>
          <w:sz w:val="22"/>
          <w:szCs w:val="22"/>
        </w:rPr>
      </w:pPr>
      <w:bookmarkStart w:id="20" w:name="_Toc14864204"/>
      <w:bookmarkStart w:id="21" w:name="_Toc77679380"/>
      <w:bookmarkStart w:id="22" w:name="_Toc109651256"/>
      <w:bookmarkStart w:id="23" w:name="_Toc204162094"/>
      <w:r w:rsidRPr="00800303">
        <w:rPr>
          <w:rFonts w:cstheme="minorHAnsi"/>
          <w:i w:val="0"/>
          <w:color w:val="222A35" w:themeColor="text2" w:themeShade="80"/>
          <w:sz w:val="22"/>
          <w:szCs w:val="22"/>
        </w:rPr>
        <w:t xml:space="preserve">Tablica </w:t>
      </w:r>
      <w:r w:rsidR="003C0277" w:rsidRPr="00800303">
        <w:rPr>
          <w:rFonts w:cstheme="minorHAnsi"/>
          <w:i w:val="0"/>
          <w:color w:val="222A35" w:themeColor="text2" w:themeShade="80"/>
          <w:sz w:val="22"/>
          <w:szCs w:val="22"/>
        </w:rPr>
        <w:fldChar w:fldCharType="begin"/>
      </w:r>
      <w:r w:rsidR="003C0277" w:rsidRPr="00800303">
        <w:rPr>
          <w:rFonts w:cstheme="minorHAnsi"/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="003C0277" w:rsidRPr="00800303">
        <w:rPr>
          <w:rFonts w:cstheme="minorHAnsi"/>
          <w:i w:val="0"/>
          <w:color w:val="222A35" w:themeColor="text2" w:themeShade="80"/>
          <w:sz w:val="22"/>
          <w:szCs w:val="22"/>
        </w:rPr>
        <w:fldChar w:fldCharType="separate"/>
      </w:r>
      <w:r w:rsidR="00E0332D">
        <w:rPr>
          <w:rFonts w:cstheme="minorHAnsi"/>
          <w:i w:val="0"/>
          <w:noProof/>
          <w:color w:val="222A35" w:themeColor="text2" w:themeShade="80"/>
          <w:sz w:val="22"/>
          <w:szCs w:val="22"/>
        </w:rPr>
        <w:t>2</w:t>
      </w:r>
      <w:r w:rsidR="003C0277" w:rsidRPr="00800303">
        <w:rPr>
          <w:rFonts w:cstheme="minorHAnsi"/>
          <w:i w:val="0"/>
          <w:color w:val="222A35" w:themeColor="text2" w:themeShade="80"/>
          <w:sz w:val="22"/>
          <w:szCs w:val="22"/>
        </w:rPr>
        <w:fldChar w:fldCharType="end"/>
      </w:r>
      <w:r w:rsidRPr="00800303">
        <w:rPr>
          <w:rFonts w:cstheme="minorHAnsi"/>
          <w:i w:val="0"/>
          <w:color w:val="222A35" w:themeColor="text2" w:themeShade="80"/>
          <w:sz w:val="22"/>
          <w:szCs w:val="22"/>
        </w:rPr>
        <w:t>. Ostvarenje prihoda</w:t>
      </w:r>
      <w:r w:rsidR="00A21EB3" w:rsidRPr="00800303">
        <w:rPr>
          <w:rFonts w:cstheme="minorHAnsi"/>
          <w:i w:val="0"/>
          <w:color w:val="222A35" w:themeColor="text2" w:themeShade="80"/>
          <w:sz w:val="22"/>
          <w:szCs w:val="22"/>
        </w:rPr>
        <w:t xml:space="preserve"> i primitaka </w:t>
      </w:r>
      <w:r w:rsidR="00E245A8">
        <w:rPr>
          <w:rFonts w:cstheme="minorHAnsi"/>
          <w:i w:val="0"/>
          <w:color w:val="222A35" w:themeColor="text2" w:themeShade="80"/>
          <w:sz w:val="22"/>
          <w:szCs w:val="22"/>
        </w:rPr>
        <w:t>u</w:t>
      </w:r>
      <w:r w:rsidR="00ED355F" w:rsidRPr="00800303">
        <w:rPr>
          <w:rFonts w:cstheme="minorHAnsi"/>
          <w:i w:val="0"/>
          <w:color w:val="222A35" w:themeColor="text2" w:themeShade="80"/>
          <w:sz w:val="22"/>
          <w:szCs w:val="22"/>
        </w:rPr>
        <w:t xml:space="preserve"> prvo</w:t>
      </w:r>
      <w:r w:rsidR="00E245A8">
        <w:rPr>
          <w:rFonts w:cstheme="minorHAnsi"/>
          <w:i w:val="0"/>
          <w:color w:val="222A35" w:themeColor="text2" w:themeShade="80"/>
          <w:sz w:val="22"/>
          <w:szCs w:val="22"/>
        </w:rPr>
        <w:t>m</w:t>
      </w:r>
      <w:r w:rsidR="00ED355F" w:rsidRPr="00800303">
        <w:rPr>
          <w:rFonts w:cstheme="minorHAnsi"/>
          <w:i w:val="0"/>
          <w:color w:val="222A35" w:themeColor="text2" w:themeShade="80"/>
          <w:sz w:val="22"/>
          <w:szCs w:val="22"/>
        </w:rPr>
        <w:t xml:space="preserve"> polugodišt</w:t>
      </w:r>
      <w:r w:rsidR="00E245A8">
        <w:rPr>
          <w:rFonts w:cstheme="minorHAnsi"/>
          <w:i w:val="0"/>
          <w:color w:val="222A35" w:themeColor="text2" w:themeShade="80"/>
          <w:sz w:val="22"/>
          <w:szCs w:val="22"/>
        </w:rPr>
        <w:t>u</w:t>
      </w:r>
      <w:r w:rsidR="00ED355F" w:rsidRPr="00800303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Pr="00800303">
        <w:rPr>
          <w:rFonts w:cstheme="minorHAnsi"/>
          <w:i w:val="0"/>
          <w:color w:val="222A35" w:themeColor="text2" w:themeShade="80"/>
          <w:sz w:val="22"/>
          <w:szCs w:val="22"/>
        </w:rPr>
        <w:t>202</w:t>
      </w:r>
      <w:r w:rsidR="00665F4F">
        <w:rPr>
          <w:rFonts w:cstheme="minorHAnsi"/>
          <w:i w:val="0"/>
          <w:color w:val="222A35" w:themeColor="text2" w:themeShade="80"/>
          <w:sz w:val="22"/>
          <w:szCs w:val="22"/>
        </w:rPr>
        <w:t>5</w:t>
      </w:r>
      <w:r w:rsidRPr="00800303">
        <w:rPr>
          <w:rFonts w:cstheme="minorHAnsi"/>
          <w:i w:val="0"/>
          <w:color w:val="222A35" w:themeColor="text2" w:themeShade="80"/>
          <w:sz w:val="22"/>
          <w:szCs w:val="22"/>
        </w:rPr>
        <w:t>. godin</w:t>
      </w:r>
      <w:r w:rsidR="00ED355F" w:rsidRPr="00800303">
        <w:rPr>
          <w:rFonts w:cstheme="minorHAnsi"/>
          <w:i w:val="0"/>
          <w:color w:val="222A35" w:themeColor="text2" w:themeShade="80"/>
          <w:sz w:val="22"/>
          <w:szCs w:val="22"/>
        </w:rPr>
        <w:t>e</w:t>
      </w:r>
      <w:r w:rsidRPr="00800303">
        <w:rPr>
          <w:rFonts w:cstheme="minorHAnsi"/>
          <w:i w:val="0"/>
          <w:color w:val="222A35" w:themeColor="text2" w:themeShade="80"/>
          <w:sz w:val="22"/>
          <w:szCs w:val="22"/>
        </w:rPr>
        <w:t xml:space="preserve"> s usporednim p</w:t>
      </w:r>
      <w:r w:rsidR="00383C19" w:rsidRPr="00800303">
        <w:rPr>
          <w:rFonts w:cstheme="minorHAnsi"/>
          <w:i w:val="0"/>
          <w:color w:val="222A35" w:themeColor="text2" w:themeShade="80"/>
          <w:sz w:val="22"/>
          <w:szCs w:val="22"/>
        </w:rPr>
        <w:t xml:space="preserve">okazateljima </w:t>
      </w:r>
      <w:r w:rsidR="00ED355F" w:rsidRPr="00800303">
        <w:rPr>
          <w:rFonts w:cstheme="minorHAnsi"/>
          <w:i w:val="0"/>
          <w:color w:val="222A35" w:themeColor="text2" w:themeShade="80"/>
          <w:sz w:val="22"/>
          <w:szCs w:val="22"/>
        </w:rPr>
        <w:t xml:space="preserve">u istom razdoblju </w:t>
      </w:r>
      <w:r w:rsidRPr="00800303">
        <w:rPr>
          <w:rFonts w:cstheme="minorHAnsi"/>
          <w:i w:val="0"/>
          <w:color w:val="222A35" w:themeColor="text2" w:themeShade="80"/>
          <w:sz w:val="22"/>
          <w:szCs w:val="22"/>
        </w:rPr>
        <w:t>202</w:t>
      </w:r>
      <w:r w:rsidR="00665F4F">
        <w:rPr>
          <w:rFonts w:cstheme="minorHAnsi"/>
          <w:i w:val="0"/>
          <w:color w:val="222A35" w:themeColor="text2" w:themeShade="80"/>
          <w:sz w:val="22"/>
          <w:szCs w:val="22"/>
        </w:rPr>
        <w:t>4</w:t>
      </w:r>
      <w:r w:rsidRPr="00800303">
        <w:rPr>
          <w:rFonts w:cstheme="minorHAnsi"/>
          <w:i w:val="0"/>
          <w:color w:val="222A35" w:themeColor="text2" w:themeShade="80"/>
          <w:sz w:val="22"/>
          <w:szCs w:val="22"/>
        </w:rPr>
        <w:t>. godin</w:t>
      </w:r>
      <w:bookmarkEnd w:id="20"/>
      <w:bookmarkEnd w:id="21"/>
      <w:bookmarkEnd w:id="22"/>
      <w:r w:rsidR="00ED355F" w:rsidRPr="00800303">
        <w:rPr>
          <w:rFonts w:cstheme="minorHAnsi"/>
          <w:i w:val="0"/>
          <w:color w:val="222A35" w:themeColor="text2" w:themeShade="80"/>
          <w:sz w:val="22"/>
          <w:szCs w:val="22"/>
        </w:rPr>
        <w:t>e</w:t>
      </w:r>
      <w:bookmarkEnd w:id="23"/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276"/>
        <w:gridCol w:w="1276"/>
        <w:gridCol w:w="1275"/>
        <w:gridCol w:w="993"/>
        <w:gridCol w:w="992"/>
      </w:tblGrid>
      <w:tr w:rsidR="00755D8A" w:rsidRPr="00CA636D" w14:paraId="51125666" w14:textId="77777777" w:rsidTr="00755D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9D7D" w14:textId="00FC163C" w:rsidR="00755D8A" w:rsidRPr="00CA636D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6CBA" w14:textId="77777777" w:rsidR="00755D8A" w:rsidRPr="00CA636D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3AB6" w14:textId="77777777" w:rsidR="00755D8A" w:rsidRDefault="00755D8A" w:rsidP="00755D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Ostvarenje </w:t>
            </w:r>
          </w:p>
          <w:p w14:paraId="7F07C467" w14:textId="6F8E16FB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I-VI 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A365" w14:textId="5D9E7F19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Izvorni 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843C" w14:textId="77777777" w:rsidR="00755D8A" w:rsidRDefault="00755D8A" w:rsidP="00755D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Ostvarenje </w:t>
            </w:r>
          </w:p>
          <w:p w14:paraId="61B73CD2" w14:textId="6321BEBF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I-VI 2025.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2A0B" w14:textId="44261AB2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Indeks 5./3.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B519" w14:textId="5D00FB1D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Indeks 5./4. </w:t>
            </w:r>
          </w:p>
        </w:tc>
      </w:tr>
      <w:tr w:rsidR="00CA636D" w:rsidRPr="00CA636D" w14:paraId="4B1318B8" w14:textId="77777777" w:rsidTr="00755D8A">
        <w:trPr>
          <w:trHeight w:val="11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6A7C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F24E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A3AE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221A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1BC2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B2ED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F295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CA636D" w:rsidRPr="00CA636D" w14:paraId="1221F13F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A81579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4C997F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A99579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6.591.703,24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D811D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17.290.223,97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31E2A9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8.093.220,69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D16102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836E0F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46,81</w:t>
            </w:r>
          </w:p>
        </w:tc>
      </w:tr>
      <w:tr w:rsidR="00CA636D" w:rsidRPr="00CA636D" w14:paraId="2F92DD09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AF6A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51D2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B6BD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172.194,80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3525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3.147.983,19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A707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381.187,69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A889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6650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12,11</w:t>
            </w:r>
          </w:p>
        </w:tc>
      </w:tr>
      <w:tr w:rsidR="00CA636D" w:rsidRPr="00CA636D" w14:paraId="59C460EE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712C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62BA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46D3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172.194,80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CA8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3.147.983,19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11AF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381.187,69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4296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506E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12,11</w:t>
            </w:r>
          </w:p>
        </w:tc>
      </w:tr>
      <w:tr w:rsidR="00CA636D" w:rsidRPr="00CA636D" w14:paraId="2022697F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638D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F0F0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036D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6.303.447,18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3714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13.102.500,00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C2E0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6.829.669,60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BF3B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E238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52,12</w:t>
            </w:r>
          </w:p>
        </w:tc>
      </w:tr>
      <w:tr w:rsidR="00CA636D" w:rsidRPr="00CA636D" w14:paraId="4212609A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EDF3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61B0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71AE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4.172,03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0AC3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998F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10.360,20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B7B3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2314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115,11</w:t>
            </w:r>
          </w:p>
        </w:tc>
      </w:tr>
      <w:tr w:rsidR="00CA636D" w:rsidRPr="00CA636D" w14:paraId="626F7C96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BF79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6264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8394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6.299.275,15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71C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13.093.500,00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7F52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6.819.309,40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3758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FA8A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52,08</w:t>
            </w:r>
          </w:p>
        </w:tc>
      </w:tr>
      <w:tr w:rsidR="00CA636D" w:rsidRPr="00CA636D" w14:paraId="01DC75F4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7B74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FFBC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AD07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EEA9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B2D1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14.625,23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EB91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4.266,65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0C3D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1.462,52</w:t>
            </w:r>
          </w:p>
        </w:tc>
      </w:tr>
      <w:tr w:rsidR="00CA636D" w:rsidRPr="00CA636D" w14:paraId="041825B6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B370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8018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F03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D429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02B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14.625,23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CEFA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F6C7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1.462,52</w:t>
            </w:r>
          </w:p>
        </w:tc>
      </w:tr>
      <w:tr w:rsidR="00CA636D" w:rsidRPr="00CA636D" w14:paraId="3E279613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5C82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B335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B2C6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114.354,54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2A73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1.035.740,78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536B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863.497,67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2150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D433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83,37</w:t>
            </w:r>
          </w:p>
        </w:tc>
      </w:tr>
      <w:tr w:rsidR="00CA636D" w:rsidRPr="00CA636D" w14:paraId="2D20804B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FF6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D7AA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708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114.354,54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71E4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1.035.740,78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1929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863.497,67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11DB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0833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83,37</w:t>
            </w:r>
          </w:p>
        </w:tc>
      </w:tr>
      <w:tr w:rsidR="00CA636D" w:rsidRPr="00CA636D" w14:paraId="5DB78FE1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8926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50B7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7B7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1.363,94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1964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E6E5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4.240,50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C9AB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5CDE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141,35</w:t>
            </w:r>
          </w:p>
        </w:tc>
      </w:tr>
      <w:tr w:rsidR="00CA636D" w:rsidRPr="00CA636D" w14:paraId="613446AF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A5C5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5A26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26A3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1.363,94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3C52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C811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4.240,50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0972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2903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141,35</w:t>
            </w:r>
          </w:p>
        </w:tc>
      </w:tr>
      <w:tr w:rsidR="00CA636D" w:rsidRPr="00CA636D" w14:paraId="2441A11B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888550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6F0A74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F0ED6A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D0DD37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11.751,08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C35B6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973345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96D3A1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3,06</w:t>
            </w:r>
          </w:p>
        </w:tc>
      </w:tr>
      <w:tr w:rsidR="00CA636D" w:rsidRPr="00CA636D" w14:paraId="1B2E403B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4594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FE27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11A2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4A3E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11.751,08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16E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32E0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9EBB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3,06</w:t>
            </w:r>
          </w:p>
        </w:tc>
      </w:tr>
      <w:tr w:rsidR="00CA636D" w:rsidRPr="00CA636D" w14:paraId="41FF48E9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D82C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E76D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1976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AE0B" w14:textId="59281A8A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9E3C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2D26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0457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A636D" w:rsidRPr="00CA636D" w14:paraId="680B113F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DB2C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2099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prijevoznih sredstava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3992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3B0F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11.751,08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5795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E49F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540C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A636D" w:rsidRPr="00CA636D" w14:paraId="77280C39" w14:textId="77777777" w:rsidTr="00EF2DDA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A18345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59853" w14:textId="77777777" w:rsidR="00CA636D" w:rsidRPr="00CA636D" w:rsidRDefault="00CA636D" w:rsidP="00CA6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219312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142176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547286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BA6388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8944FA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A636D" w:rsidRPr="00CA636D" w14:paraId="33049C4D" w14:textId="77777777" w:rsidTr="00EF2DDA">
        <w:trPr>
          <w:trHeight w:val="340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669EC01" w14:textId="77777777" w:rsidR="00CA636D" w:rsidRPr="00CA636D" w:rsidRDefault="00CA636D" w:rsidP="00CA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 PRIMICI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8FC199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6.591.703,24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02DF3F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17.301.975,05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3B7DD4" w14:textId="77777777" w:rsidR="00CA636D" w:rsidRPr="00CA636D" w:rsidRDefault="00CA636D" w:rsidP="00CA6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8.093.580,69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57174A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255398" w14:textId="77777777" w:rsidR="00CA636D" w:rsidRPr="00CA636D" w:rsidRDefault="00CA636D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63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46,78</w:t>
            </w:r>
          </w:p>
        </w:tc>
      </w:tr>
    </w:tbl>
    <w:p w14:paraId="79FF1109" w14:textId="77777777" w:rsidR="00EF2DDA" w:rsidRDefault="00EF2DDA">
      <w:pPr>
        <w:spacing w:line="259" w:lineRule="auto"/>
      </w:pPr>
      <w:r>
        <w:br w:type="page"/>
      </w:r>
    </w:p>
    <w:p w14:paraId="29EB887D" w14:textId="2F854E02" w:rsidR="00000E13" w:rsidRPr="00E81B5C" w:rsidRDefault="00000E13" w:rsidP="00B40FD8">
      <w:pPr>
        <w:pStyle w:val="Opisslike"/>
        <w:keepNext/>
        <w:spacing w:after="120"/>
        <w:ind w:left="1134" w:hanging="1134"/>
        <w:jc w:val="both"/>
        <w:rPr>
          <w:rFonts w:cstheme="minorHAnsi"/>
          <w:i w:val="0"/>
          <w:color w:val="222A35" w:themeColor="text2" w:themeShade="80"/>
          <w:sz w:val="22"/>
          <w:szCs w:val="22"/>
        </w:rPr>
      </w:pPr>
      <w:bookmarkStart w:id="24" w:name="_Toc204162226"/>
      <w:r w:rsidRPr="00E81B5C">
        <w:rPr>
          <w:rFonts w:cstheme="minorHAnsi"/>
          <w:i w:val="0"/>
          <w:color w:val="222A35" w:themeColor="text2" w:themeShade="80"/>
          <w:sz w:val="22"/>
          <w:szCs w:val="22"/>
        </w:rPr>
        <w:lastRenderedPageBreak/>
        <w:t xml:space="preserve">Grafikon </w:t>
      </w:r>
      <w:r w:rsidRPr="00E81B5C">
        <w:rPr>
          <w:rFonts w:cstheme="minorHAnsi"/>
          <w:i w:val="0"/>
          <w:color w:val="222A35" w:themeColor="text2" w:themeShade="80"/>
          <w:sz w:val="22"/>
          <w:szCs w:val="22"/>
        </w:rPr>
        <w:fldChar w:fldCharType="begin"/>
      </w:r>
      <w:r w:rsidRPr="00E81B5C">
        <w:rPr>
          <w:rFonts w:cstheme="minorHAnsi"/>
          <w:i w:val="0"/>
          <w:color w:val="222A35" w:themeColor="text2" w:themeShade="80"/>
          <w:sz w:val="22"/>
          <w:szCs w:val="22"/>
        </w:rPr>
        <w:instrText xml:space="preserve"> SEQ Grafikon \* ARABIC </w:instrText>
      </w:r>
      <w:r w:rsidRPr="00E81B5C">
        <w:rPr>
          <w:rFonts w:cstheme="minorHAnsi"/>
          <w:i w:val="0"/>
          <w:color w:val="222A35" w:themeColor="text2" w:themeShade="80"/>
          <w:sz w:val="22"/>
          <w:szCs w:val="22"/>
        </w:rPr>
        <w:fldChar w:fldCharType="separate"/>
      </w:r>
      <w:r w:rsidR="00E0332D">
        <w:rPr>
          <w:rFonts w:cstheme="minorHAnsi"/>
          <w:i w:val="0"/>
          <w:noProof/>
          <w:color w:val="222A35" w:themeColor="text2" w:themeShade="80"/>
          <w:sz w:val="22"/>
          <w:szCs w:val="22"/>
        </w:rPr>
        <w:t>1</w:t>
      </w:r>
      <w:r w:rsidRPr="00E81B5C">
        <w:rPr>
          <w:rFonts w:cstheme="minorHAnsi"/>
          <w:i w:val="0"/>
          <w:color w:val="222A35" w:themeColor="text2" w:themeShade="80"/>
          <w:sz w:val="22"/>
          <w:szCs w:val="22"/>
        </w:rPr>
        <w:fldChar w:fldCharType="end"/>
      </w:r>
      <w:r w:rsidR="00880D4A" w:rsidRPr="00E81B5C">
        <w:rPr>
          <w:rFonts w:cstheme="minorHAnsi"/>
          <w:i w:val="0"/>
          <w:color w:val="222A35" w:themeColor="text2" w:themeShade="80"/>
          <w:sz w:val="22"/>
          <w:szCs w:val="22"/>
        </w:rPr>
        <w:t>.</w:t>
      </w:r>
      <w:r w:rsidRPr="00E81B5C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="00093E46" w:rsidRPr="00E81B5C">
        <w:rPr>
          <w:rFonts w:cstheme="minorHAnsi"/>
          <w:i w:val="0"/>
          <w:color w:val="222A35" w:themeColor="text2" w:themeShade="80"/>
          <w:sz w:val="22"/>
          <w:szCs w:val="22"/>
        </w:rPr>
        <w:t>Ostvarenje prihoda</w:t>
      </w:r>
      <w:r w:rsidR="005C26D3" w:rsidRPr="00E81B5C">
        <w:rPr>
          <w:rFonts w:cstheme="minorHAnsi"/>
          <w:i w:val="0"/>
          <w:color w:val="222A35" w:themeColor="text2" w:themeShade="80"/>
          <w:sz w:val="22"/>
          <w:szCs w:val="22"/>
        </w:rPr>
        <w:t xml:space="preserve"> i primitaka</w:t>
      </w:r>
      <w:r w:rsidR="00E245A8">
        <w:rPr>
          <w:rFonts w:cstheme="minorHAnsi"/>
          <w:i w:val="0"/>
          <w:color w:val="222A35" w:themeColor="text2" w:themeShade="80"/>
          <w:sz w:val="22"/>
          <w:szCs w:val="22"/>
        </w:rPr>
        <w:t xml:space="preserve"> u prvom polugodištu</w:t>
      </w:r>
      <w:r w:rsidR="006639B4" w:rsidRPr="00E81B5C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="00093E46" w:rsidRPr="00E81B5C">
        <w:rPr>
          <w:rFonts w:cstheme="minorHAnsi"/>
          <w:i w:val="0"/>
          <w:color w:val="222A35" w:themeColor="text2" w:themeShade="80"/>
          <w:sz w:val="22"/>
          <w:szCs w:val="22"/>
        </w:rPr>
        <w:t>202</w:t>
      </w:r>
      <w:r w:rsidR="00D730FA">
        <w:rPr>
          <w:rFonts w:cstheme="minorHAnsi"/>
          <w:i w:val="0"/>
          <w:color w:val="222A35" w:themeColor="text2" w:themeShade="80"/>
          <w:sz w:val="22"/>
          <w:szCs w:val="22"/>
        </w:rPr>
        <w:t>5</w:t>
      </w:r>
      <w:r w:rsidR="00477272" w:rsidRPr="00E81B5C">
        <w:rPr>
          <w:rFonts w:cstheme="minorHAnsi"/>
          <w:i w:val="0"/>
          <w:color w:val="222A35" w:themeColor="text2" w:themeShade="80"/>
          <w:sz w:val="22"/>
          <w:szCs w:val="22"/>
        </w:rPr>
        <w:t>. godin</w:t>
      </w:r>
      <w:r w:rsidR="006639B4" w:rsidRPr="00E81B5C">
        <w:rPr>
          <w:rFonts w:cstheme="minorHAnsi"/>
          <w:i w:val="0"/>
          <w:color w:val="222A35" w:themeColor="text2" w:themeShade="80"/>
          <w:sz w:val="22"/>
          <w:szCs w:val="22"/>
        </w:rPr>
        <w:t>e</w:t>
      </w:r>
      <w:r w:rsidR="00093E46" w:rsidRPr="00E81B5C">
        <w:rPr>
          <w:rFonts w:cstheme="minorHAnsi"/>
          <w:i w:val="0"/>
          <w:color w:val="222A35" w:themeColor="text2" w:themeShade="80"/>
          <w:sz w:val="22"/>
          <w:szCs w:val="22"/>
        </w:rPr>
        <w:t xml:space="preserve"> s usporednim pokazateljima ostvarenja </w:t>
      </w:r>
      <w:r w:rsidR="00D730FA">
        <w:rPr>
          <w:rFonts w:cstheme="minorHAnsi"/>
          <w:i w:val="0"/>
          <w:color w:val="222A35" w:themeColor="text2" w:themeShade="80"/>
          <w:sz w:val="22"/>
          <w:szCs w:val="22"/>
        </w:rPr>
        <w:t>u istom razdoblju 2024</w:t>
      </w:r>
      <w:r w:rsidR="00B40FD8" w:rsidRPr="00800303">
        <w:rPr>
          <w:rFonts w:cstheme="minorHAnsi"/>
          <w:i w:val="0"/>
          <w:color w:val="222A35" w:themeColor="text2" w:themeShade="80"/>
          <w:sz w:val="22"/>
          <w:szCs w:val="22"/>
        </w:rPr>
        <w:t>. godine</w:t>
      </w:r>
      <w:bookmarkEnd w:id="24"/>
    </w:p>
    <w:p w14:paraId="742F83F1" w14:textId="611850C4" w:rsidR="000B3A72" w:rsidRDefault="00E249C0" w:rsidP="008D65D9">
      <w:pPr>
        <w:spacing w:after="120" w:line="240" w:lineRule="auto"/>
        <w:jc w:val="center"/>
        <w:rPr>
          <w:noProof/>
          <w:lang w:eastAsia="hr-HR"/>
        </w:rPr>
      </w:pPr>
      <w:r w:rsidRPr="00E249C0">
        <w:rPr>
          <w:b/>
          <w:noProof/>
          <w:sz w:val="18"/>
          <w:szCs w:val="18"/>
          <w:lang w:eastAsia="hr-HR"/>
        </w:rPr>
        <w:drawing>
          <wp:inline distT="0" distB="0" distL="0" distR="0" wp14:anchorId="7CDF56D3" wp14:editId="30DAF5CC">
            <wp:extent cx="6480000" cy="3600000"/>
            <wp:effectExtent l="0" t="0" r="16510" b="6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E5A5FE" w14:textId="5ACCE64C" w:rsidR="000B3A72" w:rsidRPr="005E0D04" w:rsidRDefault="005F69E2" w:rsidP="00EC6EAF">
      <w:pPr>
        <w:pStyle w:val="Naslov4"/>
      </w:pPr>
      <w:bookmarkStart w:id="25" w:name="_Toc14862487"/>
      <w:bookmarkStart w:id="26" w:name="_Toc204162373"/>
      <w:r w:rsidRPr="00EC6EAF">
        <w:t>PRIHOD</w:t>
      </w:r>
      <w:r w:rsidR="00175536">
        <w:t>I</w:t>
      </w:r>
      <w:r w:rsidRPr="005E0D04">
        <w:t xml:space="preserve"> POSLOVANJA</w:t>
      </w:r>
      <w:bookmarkEnd w:id="25"/>
      <w:bookmarkEnd w:id="26"/>
    </w:p>
    <w:p w14:paraId="6A7738B0" w14:textId="1FE2233E" w:rsidR="000B3A72" w:rsidRPr="00CD5B87" w:rsidRDefault="000B3A72" w:rsidP="003E1940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Prihodi poslovanja planirani su u 202</w:t>
      </w:r>
      <w:r w:rsidR="00665F4F">
        <w:rPr>
          <w:rFonts w:cstheme="minorHAnsi"/>
        </w:rPr>
        <w:t>5</w:t>
      </w:r>
      <w:r w:rsidR="00A21EB3">
        <w:rPr>
          <w:rFonts w:cstheme="minorHAnsi"/>
        </w:rPr>
        <w:t xml:space="preserve">. godini u iznosu </w:t>
      </w:r>
      <w:r w:rsidR="003D3C93">
        <w:rPr>
          <w:rFonts w:cstheme="minorHAnsi"/>
        </w:rPr>
        <w:t xml:space="preserve">od </w:t>
      </w:r>
      <w:r w:rsidR="00665F4F">
        <w:rPr>
          <w:rFonts w:cstheme="minorHAnsi"/>
        </w:rPr>
        <w:t xml:space="preserve">17.290.223,97 </w:t>
      </w:r>
      <w:r w:rsidR="000B0D04">
        <w:rPr>
          <w:rFonts w:cstheme="minorHAnsi"/>
        </w:rPr>
        <w:t>eur</w:t>
      </w:r>
      <w:r w:rsidR="00665F4F">
        <w:rPr>
          <w:rFonts w:cstheme="minorHAnsi"/>
        </w:rPr>
        <w:t>a</w:t>
      </w:r>
      <w:r w:rsidRPr="00CD5B87">
        <w:rPr>
          <w:rFonts w:cstheme="minorHAnsi"/>
        </w:rPr>
        <w:t>,</w:t>
      </w:r>
      <w:r w:rsidR="00C875A5">
        <w:rPr>
          <w:rFonts w:cstheme="minorHAnsi"/>
        </w:rPr>
        <w:t xml:space="preserve"> u prvom polugodištu 202</w:t>
      </w:r>
      <w:r w:rsidR="00665F4F">
        <w:rPr>
          <w:rFonts w:cstheme="minorHAnsi"/>
        </w:rPr>
        <w:t>5</w:t>
      </w:r>
      <w:r w:rsidR="00C875A5">
        <w:rPr>
          <w:rFonts w:cstheme="minorHAnsi"/>
        </w:rPr>
        <w:t>. godine</w:t>
      </w:r>
      <w:r w:rsidRPr="00CD5B87">
        <w:rPr>
          <w:rFonts w:cstheme="minorHAnsi"/>
        </w:rPr>
        <w:t xml:space="preserve"> </w:t>
      </w:r>
      <w:r w:rsidR="004A3984">
        <w:rPr>
          <w:rFonts w:cstheme="minorHAnsi"/>
        </w:rPr>
        <w:t xml:space="preserve">ostvareni su </w:t>
      </w:r>
      <w:r w:rsidR="00300E56">
        <w:rPr>
          <w:rFonts w:cstheme="minorHAnsi"/>
        </w:rPr>
        <w:t xml:space="preserve">u iznosu </w:t>
      </w:r>
      <w:r w:rsidR="003D3C93">
        <w:rPr>
          <w:rFonts w:cstheme="minorHAnsi"/>
        </w:rPr>
        <w:t xml:space="preserve">od </w:t>
      </w:r>
      <w:r w:rsidR="00665F4F">
        <w:rPr>
          <w:rFonts w:cstheme="minorHAnsi"/>
        </w:rPr>
        <w:t>8.093.220,69</w:t>
      </w:r>
      <w:r w:rsidR="000B0D04">
        <w:rPr>
          <w:rFonts w:cstheme="minorHAnsi"/>
        </w:rPr>
        <w:t xml:space="preserve"> eur</w:t>
      </w:r>
      <w:r w:rsidR="00665F4F">
        <w:rPr>
          <w:rFonts w:cstheme="minorHAnsi"/>
        </w:rPr>
        <w:t>a</w:t>
      </w:r>
      <w:r w:rsidR="00B76525">
        <w:rPr>
          <w:rFonts w:cstheme="minorHAnsi"/>
        </w:rPr>
        <w:t>,</w:t>
      </w:r>
      <w:r w:rsidR="00300E56">
        <w:rPr>
          <w:rFonts w:cstheme="minorHAnsi"/>
        </w:rPr>
        <w:t xml:space="preserve"> odnosno </w:t>
      </w:r>
      <w:r w:rsidR="00665F4F">
        <w:rPr>
          <w:rFonts w:cstheme="minorHAnsi"/>
        </w:rPr>
        <w:t>46,81</w:t>
      </w:r>
      <w:r w:rsidR="004A3984">
        <w:rPr>
          <w:rFonts w:cstheme="minorHAnsi"/>
        </w:rPr>
        <w:t xml:space="preserve">% </w:t>
      </w:r>
      <w:r w:rsidR="00CF4EBA">
        <w:rPr>
          <w:rFonts w:cstheme="minorHAnsi"/>
        </w:rPr>
        <w:t xml:space="preserve">godišnjeg plana, te </w:t>
      </w:r>
      <w:r w:rsidR="00AE4D50">
        <w:rPr>
          <w:rFonts w:cstheme="minorHAnsi"/>
        </w:rPr>
        <w:t xml:space="preserve">za </w:t>
      </w:r>
      <w:r w:rsidR="00665F4F">
        <w:rPr>
          <w:rFonts w:cstheme="minorHAnsi"/>
        </w:rPr>
        <w:t>22,78</w:t>
      </w:r>
      <w:r w:rsidR="00A32BA3">
        <w:rPr>
          <w:rFonts w:cstheme="minorHAnsi"/>
        </w:rPr>
        <w:t xml:space="preserve">% </w:t>
      </w:r>
      <w:r w:rsidR="00665F4F">
        <w:rPr>
          <w:rFonts w:cstheme="minorHAnsi"/>
        </w:rPr>
        <w:t>više</w:t>
      </w:r>
      <w:r w:rsidRPr="00CD5B87">
        <w:rPr>
          <w:rFonts w:cstheme="minorHAnsi"/>
        </w:rPr>
        <w:t xml:space="preserve"> u odnosu na isto razdoblje prethodne godine.</w:t>
      </w:r>
    </w:p>
    <w:p w14:paraId="4AB97FDE" w14:textId="243263D3" w:rsidR="00C875A5" w:rsidRDefault="00C875A5" w:rsidP="00C875A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>U strukturi navedenih prihoda najznačajniju stavku čine prihodi od imovine koji se dijele na prihode od financijske i nefinancijske imovine (prihodi od naknada za uporabu javnih cesta, naknada za korištenje cestovnog zemljišta, naknada za izvanredni prijevoz</w:t>
      </w:r>
      <w:r w:rsidR="00D631B3">
        <w:rPr>
          <w:rFonts w:eastAsiaTheme="minorEastAsia" w:cstheme="minorHAnsi"/>
          <w:lang w:eastAsia="hr-HR"/>
        </w:rPr>
        <w:t>, naknada za pravo služnosti</w:t>
      </w:r>
      <w:r>
        <w:rPr>
          <w:rFonts w:eastAsiaTheme="minorEastAsia" w:cstheme="minorHAnsi"/>
          <w:lang w:eastAsia="hr-HR"/>
        </w:rPr>
        <w:t xml:space="preserve">) s udjelom od </w:t>
      </w:r>
      <w:r w:rsidR="00665F4F">
        <w:rPr>
          <w:rFonts w:eastAsiaTheme="minorEastAsia" w:cstheme="minorHAnsi"/>
          <w:lang w:eastAsia="hr-HR"/>
        </w:rPr>
        <w:t>84,3</w:t>
      </w:r>
      <w:r w:rsidR="004D15BE">
        <w:rPr>
          <w:rFonts w:eastAsiaTheme="minorEastAsia" w:cstheme="minorHAnsi"/>
          <w:lang w:eastAsia="hr-HR"/>
        </w:rPr>
        <w:t>9</w:t>
      </w:r>
      <w:r>
        <w:rPr>
          <w:rFonts w:eastAsiaTheme="minorEastAsia" w:cstheme="minorHAnsi"/>
          <w:lang w:eastAsia="hr-HR"/>
        </w:rPr>
        <w:t>%, slijede prihodi od</w:t>
      </w:r>
      <w:r w:rsidRPr="00293B8A">
        <w:rPr>
          <w:rFonts w:eastAsiaTheme="minorEastAsia" w:cstheme="minorHAnsi"/>
          <w:lang w:eastAsia="hr-HR"/>
        </w:rPr>
        <w:t xml:space="preserve"> </w:t>
      </w:r>
      <w:r w:rsidR="00665F4F">
        <w:rPr>
          <w:rFonts w:eastAsiaTheme="minorEastAsia" w:cstheme="minorHAnsi"/>
          <w:lang w:eastAsia="hr-HR"/>
        </w:rPr>
        <w:t>donacija</w:t>
      </w:r>
      <w:r>
        <w:rPr>
          <w:rFonts w:eastAsiaTheme="minorEastAsia" w:cstheme="minorHAnsi"/>
          <w:lang w:eastAsia="hr-HR"/>
        </w:rPr>
        <w:t xml:space="preserve"> s udjelom </w:t>
      </w:r>
      <w:r w:rsidR="00665F4F">
        <w:rPr>
          <w:rFonts w:eastAsiaTheme="minorEastAsia" w:cstheme="minorHAnsi"/>
          <w:lang w:eastAsia="hr-HR"/>
        </w:rPr>
        <w:t>10,67</w:t>
      </w:r>
      <w:r w:rsidRPr="00293B8A">
        <w:rPr>
          <w:rFonts w:eastAsiaTheme="minorEastAsia" w:cstheme="minorHAnsi"/>
          <w:lang w:eastAsia="hr-HR"/>
        </w:rPr>
        <w:t>%</w:t>
      </w:r>
      <w:r>
        <w:rPr>
          <w:rFonts w:eastAsiaTheme="minorEastAsia" w:cstheme="minorHAnsi"/>
          <w:lang w:eastAsia="hr-HR"/>
        </w:rPr>
        <w:t xml:space="preserve">, prihodi od </w:t>
      </w:r>
      <w:r w:rsidR="00665F4F">
        <w:rPr>
          <w:rFonts w:eastAsiaTheme="minorEastAsia" w:cstheme="minorHAnsi"/>
          <w:lang w:eastAsia="hr-HR"/>
        </w:rPr>
        <w:t>pomoći od subjekata unutar općeg proračuna</w:t>
      </w:r>
      <w:r w:rsidR="00D631B3">
        <w:rPr>
          <w:rFonts w:eastAsiaTheme="minorEastAsia" w:cstheme="minorHAnsi"/>
          <w:lang w:eastAsia="hr-HR"/>
        </w:rPr>
        <w:t xml:space="preserve"> s udjelom od </w:t>
      </w:r>
      <w:r w:rsidR="00665F4F">
        <w:rPr>
          <w:rFonts w:eastAsiaTheme="minorEastAsia" w:cstheme="minorHAnsi"/>
          <w:lang w:eastAsia="hr-HR"/>
        </w:rPr>
        <w:t>4,7</w:t>
      </w:r>
      <w:r w:rsidR="004D24FA">
        <w:rPr>
          <w:rFonts w:eastAsiaTheme="minorEastAsia" w:cstheme="minorHAnsi"/>
          <w:lang w:eastAsia="hr-HR"/>
        </w:rPr>
        <w:t>1</w:t>
      </w:r>
      <w:r w:rsidR="00D631B3">
        <w:rPr>
          <w:rFonts w:eastAsiaTheme="minorEastAsia" w:cstheme="minorHAnsi"/>
          <w:lang w:eastAsia="hr-HR"/>
        </w:rPr>
        <w:t xml:space="preserve">%, </w:t>
      </w:r>
      <w:r w:rsidR="00665F4F">
        <w:rPr>
          <w:rFonts w:eastAsiaTheme="minorEastAsia" w:cstheme="minorHAnsi"/>
          <w:lang w:eastAsia="hr-HR"/>
        </w:rPr>
        <w:t xml:space="preserve">prihodi od upravnih i administrativnih pristojbi, pristojbi po posebnim propisima i naknada s udjelom od 0,18% </w:t>
      </w:r>
      <w:r w:rsidR="00D631B3">
        <w:rPr>
          <w:rFonts w:eastAsiaTheme="minorEastAsia" w:cstheme="minorHAnsi"/>
          <w:lang w:eastAsia="hr-HR"/>
        </w:rPr>
        <w:t xml:space="preserve">i </w:t>
      </w:r>
      <w:r w:rsidR="00665F4F">
        <w:rPr>
          <w:rFonts w:eastAsiaTheme="minorEastAsia" w:cstheme="minorHAnsi"/>
          <w:lang w:eastAsia="hr-HR"/>
        </w:rPr>
        <w:t>ostali prihodi s udjelom od 0,05</w:t>
      </w:r>
      <w:r>
        <w:rPr>
          <w:rFonts w:eastAsiaTheme="minorEastAsia" w:cstheme="minorHAnsi"/>
          <w:lang w:eastAsia="hr-HR"/>
        </w:rPr>
        <w:t>%.</w:t>
      </w:r>
    </w:p>
    <w:p w14:paraId="32096BFB" w14:textId="464B1D8D" w:rsidR="000B3A72" w:rsidRPr="00CD5B87" w:rsidRDefault="000B3A72" w:rsidP="003E1940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U izvještajnom razdoblju p</w:t>
      </w:r>
      <w:r w:rsidR="008A7347">
        <w:rPr>
          <w:rFonts w:cstheme="minorHAnsi"/>
        </w:rPr>
        <w:t>o</w:t>
      </w:r>
      <w:r w:rsidRPr="00CD5B87">
        <w:rPr>
          <w:rFonts w:cstheme="minorHAnsi"/>
        </w:rPr>
        <w:t>jedine vrste prihoda poslovanja ostvarene su kako slijedi:</w:t>
      </w:r>
    </w:p>
    <w:p w14:paraId="0838267B" w14:textId="77777777" w:rsidR="000B3A72" w:rsidRPr="0077367B" w:rsidRDefault="000B3A72" w:rsidP="0077367B">
      <w:pPr>
        <w:spacing w:before="120" w:after="120" w:line="240" w:lineRule="auto"/>
        <w:jc w:val="both"/>
        <w:rPr>
          <w:rFonts w:cstheme="minorHAnsi"/>
          <w:b/>
        </w:rPr>
      </w:pPr>
      <w:r w:rsidRPr="0077367B">
        <w:rPr>
          <w:rFonts w:cstheme="minorHAnsi"/>
          <w:b/>
        </w:rPr>
        <w:t>Pomoći od subjekata unutar općeg proračuna</w:t>
      </w:r>
    </w:p>
    <w:p w14:paraId="4FD50CFC" w14:textId="24C278B6" w:rsidR="00C875A5" w:rsidRPr="00713828" w:rsidRDefault="00061D3A" w:rsidP="00061D3A">
      <w:pPr>
        <w:spacing w:line="259" w:lineRule="auto"/>
        <w:jc w:val="both"/>
        <w:rPr>
          <w:rFonts w:eastAsiaTheme="minorEastAsia" w:cstheme="minorHAnsi"/>
          <w:b/>
          <w:lang w:eastAsia="hr-HR"/>
        </w:rPr>
      </w:pPr>
      <w:r>
        <w:rPr>
          <w:rFonts w:eastAsiaTheme="minorEastAsia" w:cstheme="minorHAnsi"/>
          <w:lang w:eastAsia="hr-HR"/>
        </w:rPr>
        <w:t>P</w:t>
      </w:r>
      <w:r w:rsidR="00C875A5">
        <w:rPr>
          <w:rFonts w:eastAsiaTheme="minorEastAsia" w:cstheme="minorHAnsi"/>
          <w:lang w:eastAsia="hr-HR"/>
        </w:rPr>
        <w:t xml:space="preserve">omoći od subjekata unutar općeg proračuna </w:t>
      </w:r>
      <w:r w:rsidR="00C875A5" w:rsidRPr="00293B8A">
        <w:rPr>
          <w:rFonts w:eastAsiaTheme="minorEastAsia" w:cstheme="minorHAnsi"/>
          <w:lang w:eastAsia="hr-HR"/>
        </w:rPr>
        <w:t xml:space="preserve">odnose se na tekuće </w:t>
      </w:r>
      <w:r>
        <w:rPr>
          <w:rFonts w:eastAsiaTheme="minorEastAsia" w:cstheme="minorHAnsi"/>
          <w:lang w:eastAsia="hr-HR"/>
        </w:rPr>
        <w:t xml:space="preserve">i kapitalne </w:t>
      </w:r>
      <w:r w:rsidR="00C875A5" w:rsidRPr="00293B8A">
        <w:rPr>
          <w:rFonts w:eastAsiaTheme="minorEastAsia" w:cstheme="minorHAnsi"/>
          <w:lang w:eastAsia="hr-HR"/>
        </w:rPr>
        <w:t>pomoći iz gradskih i općinskih proračuna s područja Primorsko-goranske ž</w:t>
      </w:r>
      <w:r w:rsidR="00C875A5">
        <w:rPr>
          <w:rFonts w:eastAsiaTheme="minorEastAsia" w:cstheme="minorHAnsi"/>
          <w:lang w:eastAsia="hr-HR"/>
        </w:rPr>
        <w:t>upan</w:t>
      </w:r>
      <w:r>
        <w:rPr>
          <w:rFonts w:eastAsiaTheme="minorEastAsia" w:cstheme="minorHAnsi"/>
          <w:lang w:eastAsia="hr-HR"/>
        </w:rPr>
        <w:t>ije</w:t>
      </w:r>
      <w:r w:rsidR="00E22BCD">
        <w:rPr>
          <w:rFonts w:eastAsiaTheme="minorEastAsia" w:cstheme="minorHAnsi"/>
          <w:lang w:eastAsia="hr-HR"/>
        </w:rPr>
        <w:t>, te pomoći društva Hrvatske ceste d.o.o.</w:t>
      </w:r>
      <w:r>
        <w:rPr>
          <w:rFonts w:eastAsiaTheme="minorEastAsia" w:cstheme="minorHAnsi"/>
          <w:lang w:eastAsia="hr-HR"/>
        </w:rPr>
        <w:t xml:space="preserve"> i ostvarene </w:t>
      </w:r>
      <w:r w:rsidR="00CF4EBA">
        <w:rPr>
          <w:rFonts w:eastAsiaTheme="minorEastAsia" w:cstheme="minorHAnsi"/>
          <w:lang w:eastAsia="hr-HR"/>
        </w:rPr>
        <w:t>su</w:t>
      </w:r>
      <w:r>
        <w:rPr>
          <w:rFonts w:eastAsiaTheme="minorEastAsia" w:cstheme="minorHAnsi"/>
          <w:lang w:eastAsia="hr-HR"/>
        </w:rPr>
        <w:t xml:space="preserve"> u iznosu od </w:t>
      </w:r>
      <w:r w:rsidR="0009699F">
        <w:rPr>
          <w:rFonts w:eastAsiaTheme="minorEastAsia" w:cstheme="minorHAnsi"/>
          <w:lang w:eastAsia="hr-HR"/>
        </w:rPr>
        <w:t>381.187,69</w:t>
      </w:r>
      <w:r w:rsidR="00D631B3">
        <w:rPr>
          <w:rFonts w:eastAsiaTheme="minorEastAsia" w:cstheme="minorHAnsi"/>
          <w:lang w:eastAsia="hr-HR"/>
        </w:rPr>
        <w:t xml:space="preserve"> eur</w:t>
      </w:r>
      <w:r w:rsidR="0009699F">
        <w:rPr>
          <w:rFonts w:eastAsiaTheme="minorEastAsia" w:cstheme="minorHAnsi"/>
          <w:lang w:eastAsia="hr-HR"/>
        </w:rPr>
        <w:t>a</w:t>
      </w:r>
      <w:r w:rsidR="00AE4D50">
        <w:rPr>
          <w:rFonts w:eastAsiaTheme="minorEastAsia" w:cstheme="minorHAnsi"/>
          <w:lang w:eastAsia="hr-HR"/>
        </w:rPr>
        <w:t xml:space="preserve"> odnosno </w:t>
      </w:r>
      <w:r w:rsidR="0009699F">
        <w:rPr>
          <w:rFonts w:eastAsiaTheme="minorEastAsia" w:cstheme="minorHAnsi"/>
          <w:lang w:eastAsia="hr-HR"/>
        </w:rPr>
        <w:t>12,11</w:t>
      </w:r>
      <w:r w:rsidR="00AE4D50">
        <w:rPr>
          <w:rFonts w:eastAsiaTheme="minorEastAsia" w:cstheme="minorHAnsi"/>
          <w:lang w:eastAsia="hr-HR"/>
        </w:rPr>
        <w:t xml:space="preserve">% godišnjeg plana, te za </w:t>
      </w:r>
      <w:r w:rsidR="004D15BE">
        <w:rPr>
          <w:rFonts w:eastAsiaTheme="minorEastAsia" w:cstheme="minorHAnsi"/>
          <w:lang w:eastAsia="hr-HR"/>
        </w:rPr>
        <w:t>208.</w:t>
      </w:r>
      <w:r w:rsidR="00F9607E">
        <w:rPr>
          <w:rFonts w:eastAsiaTheme="minorEastAsia" w:cstheme="minorHAnsi"/>
          <w:lang w:eastAsia="hr-HR"/>
        </w:rPr>
        <w:t>992,89 eura</w:t>
      </w:r>
      <w:r>
        <w:rPr>
          <w:rFonts w:eastAsiaTheme="minorEastAsia" w:cstheme="minorHAnsi"/>
          <w:lang w:eastAsia="hr-HR"/>
        </w:rPr>
        <w:t xml:space="preserve"> </w:t>
      </w:r>
      <w:r w:rsidR="0009699F">
        <w:rPr>
          <w:rFonts w:eastAsiaTheme="minorEastAsia" w:cstheme="minorHAnsi"/>
          <w:lang w:eastAsia="hr-HR"/>
        </w:rPr>
        <w:t>više</w:t>
      </w:r>
      <w:r>
        <w:rPr>
          <w:rFonts w:eastAsiaTheme="minorEastAsia" w:cstheme="minorHAnsi"/>
          <w:lang w:eastAsia="hr-HR"/>
        </w:rPr>
        <w:t xml:space="preserve"> u odnosu na isto razdoblje prethodne godine.</w:t>
      </w:r>
    </w:p>
    <w:p w14:paraId="3B600DC4" w14:textId="13F99EAB" w:rsidR="00C875A5" w:rsidRDefault="00C875A5" w:rsidP="00C875A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Pomoći su ostvarene iz gradskih i općinskih proračuna (</w:t>
      </w:r>
      <w:r w:rsidR="00E22BCD">
        <w:rPr>
          <w:rFonts w:eastAsiaTheme="minorEastAsia" w:cstheme="minorHAnsi"/>
          <w:lang w:eastAsia="hr-HR"/>
        </w:rPr>
        <w:t xml:space="preserve">Vrbnik, </w:t>
      </w:r>
      <w:proofErr w:type="spellStart"/>
      <w:r w:rsidR="00695ED5" w:rsidRPr="00174F41">
        <w:rPr>
          <w:rFonts w:eastAsiaTheme="minorEastAsia" w:cstheme="minorHAnsi"/>
          <w:lang w:eastAsia="hr-HR"/>
        </w:rPr>
        <w:t>Dobrinj</w:t>
      </w:r>
      <w:proofErr w:type="spellEnd"/>
      <w:r w:rsidR="00695ED5" w:rsidRPr="00174F41">
        <w:rPr>
          <w:rFonts w:eastAsiaTheme="minorEastAsia" w:cstheme="minorHAnsi"/>
          <w:lang w:eastAsia="hr-HR"/>
        </w:rPr>
        <w:t>, Krk, Jelenje i Lopar</w:t>
      </w:r>
      <w:r w:rsidRPr="00293B8A">
        <w:rPr>
          <w:rFonts w:eastAsiaTheme="minorEastAsia" w:cstheme="minorHAnsi"/>
          <w:lang w:eastAsia="hr-HR"/>
        </w:rPr>
        <w:t>) temeljem zaključenih ugovora odnosno sporazuma u 202</w:t>
      </w:r>
      <w:r w:rsidR="00695ED5">
        <w:rPr>
          <w:rFonts w:eastAsiaTheme="minorEastAsia" w:cstheme="minorHAnsi"/>
          <w:lang w:eastAsia="hr-HR"/>
        </w:rPr>
        <w:t>4</w:t>
      </w:r>
      <w:r w:rsidRPr="00293B8A">
        <w:rPr>
          <w:rFonts w:eastAsiaTheme="minorEastAsia" w:cstheme="minorHAnsi"/>
          <w:lang w:eastAsia="hr-HR"/>
        </w:rPr>
        <w:t>. i 202</w:t>
      </w:r>
      <w:r w:rsidR="00695ED5">
        <w:rPr>
          <w:rFonts w:eastAsiaTheme="minorEastAsia" w:cstheme="minorHAnsi"/>
          <w:lang w:eastAsia="hr-HR"/>
        </w:rPr>
        <w:t>5</w:t>
      </w:r>
      <w:r w:rsidRPr="00293B8A">
        <w:rPr>
          <w:rFonts w:eastAsiaTheme="minorEastAsia" w:cstheme="minorHAnsi"/>
          <w:lang w:eastAsia="hr-HR"/>
        </w:rPr>
        <w:t xml:space="preserve">. godini, a odnose se na sredstva doznačena za izvanredno održavanje i </w:t>
      </w:r>
      <w:r>
        <w:rPr>
          <w:rFonts w:eastAsiaTheme="minorEastAsia" w:cstheme="minorHAnsi"/>
          <w:lang w:eastAsia="hr-HR"/>
        </w:rPr>
        <w:t>gradnju</w:t>
      </w:r>
      <w:r w:rsidRPr="00293B8A">
        <w:rPr>
          <w:rFonts w:eastAsiaTheme="minorEastAsia" w:cstheme="minorHAnsi"/>
          <w:lang w:eastAsia="hr-HR"/>
        </w:rPr>
        <w:t xml:space="preserve"> županijskih i lokalnih</w:t>
      </w:r>
      <w:r>
        <w:rPr>
          <w:rFonts w:eastAsiaTheme="minorEastAsia" w:cstheme="minorHAnsi"/>
          <w:lang w:eastAsia="hr-HR"/>
        </w:rPr>
        <w:t xml:space="preserve"> cesta na njihovom području.</w:t>
      </w:r>
    </w:p>
    <w:p w14:paraId="6EFCF975" w14:textId="1FF19455" w:rsidR="00C875A5" w:rsidRDefault="006B1AEE" w:rsidP="00C875A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6B1AEE">
        <w:rPr>
          <w:rFonts w:eastAsiaTheme="minorEastAsia" w:cstheme="minorHAnsi"/>
          <w:lang w:eastAsia="hr-HR"/>
        </w:rPr>
        <w:t>Prihodi od t</w:t>
      </w:r>
      <w:r w:rsidR="00C875A5" w:rsidRPr="006B1AEE">
        <w:rPr>
          <w:rFonts w:eastAsiaTheme="minorEastAsia" w:cstheme="minorHAnsi"/>
          <w:lang w:eastAsia="hr-HR"/>
        </w:rPr>
        <w:t>ekuć</w:t>
      </w:r>
      <w:r w:rsidRPr="006B1AEE">
        <w:rPr>
          <w:rFonts w:eastAsiaTheme="minorEastAsia" w:cstheme="minorHAnsi"/>
          <w:lang w:eastAsia="hr-HR"/>
        </w:rPr>
        <w:t>ih</w:t>
      </w:r>
      <w:r w:rsidR="00C875A5" w:rsidRPr="006B1AEE">
        <w:rPr>
          <w:rFonts w:eastAsiaTheme="minorEastAsia" w:cstheme="minorHAnsi"/>
          <w:lang w:eastAsia="hr-HR"/>
        </w:rPr>
        <w:t xml:space="preserve"> pomoći proračuna iz drugih proračuna odnos</w:t>
      </w:r>
      <w:r w:rsidRPr="006B1AEE">
        <w:rPr>
          <w:rFonts w:eastAsiaTheme="minorEastAsia" w:cstheme="minorHAnsi"/>
          <w:lang w:eastAsia="hr-HR"/>
        </w:rPr>
        <w:t>e</w:t>
      </w:r>
      <w:r w:rsidR="00C875A5" w:rsidRPr="006B1AEE">
        <w:rPr>
          <w:rFonts w:eastAsiaTheme="minorEastAsia" w:cstheme="minorHAnsi"/>
          <w:lang w:eastAsia="hr-HR"/>
        </w:rPr>
        <w:t xml:space="preserve"> se na doznačena sredstva za financiranje </w:t>
      </w:r>
      <w:r w:rsidR="000851CA">
        <w:rPr>
          <w:rFonts w:eastAsiaTheme="minorEastAsia" w:cstheme="minorHAnsi"/>
          <w:lang w:eastAsia="hr-HR"/>
        </w:rPr>
        <w:t xml:space="preserve">programa </w:t>
      </w:r>
      <w:r w:rsidR="00C875A5" w:rsidRPr="006B1AEE">
        <w:rPr>
          <w:rFonts w:eastAsiaTheme="minorEastAsia" w:cstheme="minorHAnsi"/>
          <w:lang w:eastAsia="hr-HR"/>
        </w:rPr>
        <w:t xml:space="preserve">izvanrednog održavanja županijskih i lokalnih cesta. Navedeni prihodi ostvareni su u iznosu </w:t>
      </w:r>
      <w:r w:rsidR="00AE4D50">
        <w:rPr>
          <w:rFonts w:eastAsiaTheme="minorEastAsia" w:cstheme="minorHAnsi"/>
          <w:lang w:eastAsia="hr-HR"/>
        </w:rPr>
        <w:t xml:space="preserve">od </w:t>
      </w:r>
      <w:r w:rsidR="00695ED5">
        <w:rPr>
          <w:rFonts w:eastAsiaTheme="minorEastAsia" w:cstheme="minorHAnsi"/>
          <w:lang w:eastAsia="hr-HR"/>
        </w:rPr>
        <w:t>136.200,52</w:t>
      </w:r>
      <w:r w:rsidR="00C875A5" w:rsidRPr="006B1AEE">
        <w:rPr>
          <w:rFonts w:eastAsiaTheme="minorEastAsia" w:cstheme="minorHAnsi"/>
          <w:lang w:eastAsia="hr-HR"/>
        </w:rPr>
        <w:t xml:space="preserve"> eur</w:t>
      </w:r>
      <w:r w:rsidR="00695ED5">
        <w:rPr>
          <w:rFonts w:eastAsiaTheme="minorEastAsia" w:cstheme="minorHAnsi"/>
          <w:lang w:eastAsia="hr-HR"/>
        </w:rPr>
        <w:t>a</w:t>
      </w:r>
      <w:r w:rsidR="00C875A5" w:rsidRPr="006B1AEE">
        <w:rPr>
          <w:rFonts w:eastAsiaTheme="minorEastAsia" w:cstheme="minorHAnsi"/>
          <w:lang w:eastAsia="hr-HR"/>
        </w:rPr>
        <w:t xml:space="preserve"> ili </w:t>
      </w:r>
      <w:r w:rsidR="00695ED5">
        <w:rPr>
          <w:rFonts w:eastAsiaTheme="minorEastAsia" w:cstheme="minorHAnsi"/>
          <w:lang w:eastAsia="hr-HR"/>
        </w:rPr>
        <w:t>21,35</w:t>
      </w:r>
      <w:r w:rsidR="00C875A5" w:rsidRPr="006B1AEE">
        <w:rPr>
          <w:rFonts w:eastAsiaTheme="minorEastAsia" w:cstheme="minorHAnsi"/>
          <w:lang w:eastAsia="hr-HR"/>
        </w:rPr>
        <w:t xml:space="preserve">% </w:t>
      </w:r>
      <w:r w:rsidR="00695ED5">
        <w:rPr>
          <w:rFonts w:eastAsiaTheme="minorEastAsia" w:cstheme="minorHAnsi"/>
          <w:lang w:eastAsia="hr-HR"/>
        </w:rPr>
        <w:t xml:space="preserve">godišnjeg plana, te za 14.005,72 eura </w:t>
      </w:r>
      <w:r w:rsidR="00E22BCD">
        <w:rPr>
          <w:rFonts w:eastAsiaTheme="minorEastAsia" w:cstheme="minorHAnsi"/>
          <w:lang w:eastAsia="hr-HR"/>
        </w:rPr>
        <w:t xml:space="preserve">ili 11,46% </w:t>
      </w:r>
      <w:r w:rsidR="00695ED5">
        <w:rPr>
          <w:rFonts w:eastAsiaTheme="minorEastAsia" w:cstheme="minorHAnsi"/>
          <w:lang w:eastAsia="hr-HR"/>
        </w:rPr>
        <w:t>više</w:t>
      </w:r>
      <w:r w:rsidR="00C875A5" w:rsidRPr="006B1AEE">
        <w:rPr>
          <w:rFonts w:eastAsiaTheme="minorEastAsia" w:cstheme="minorHAnsi"/>
          <w:lang w:eastAsia="hr-HR"/>
        </w:rPr>
        <w:t xml:space="preserve"> u odnosu na </w:t>
      </w:r>
      <w:r w:rsidR="00747545">
        <w:rPr>
          <w:rFonts w:eastAsiaTheme="minorEastAsia" w:cstheme="minorHAnsi"/>
          <w:lang w:eastAsia="hr-HR"/>
        </w:rPr>
        <w:t>isto razdoblje prethodne godine.</w:t>
      </w:r>
    </w:p>
    <w:p w14:paraId="0B873439" w14:textId="77777777" w:rsidR="00783ECB" w:rsidRPr="006B1AEE" w:rsidRDefault="00783ECB" w:rsidP="00C875A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</w:p>
    <w:p w14:paraId="7EE83138" w14:textId="77777777" w:rsidR="001A6698" w:rsidRPr="006B1AEE" w:rsidRDefault="006B1AEE" w:rsidP="001A669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6B1AEE">
        <w:rPr>
          <w:rFonts w:eastAsiaTheme="minorEastAsia" w:cstheme="minorHAnsi"/>
          <w:lang w:eastAsia="hr-HR"/>
        </w:rPr>
        <w:lastRenderedPageBreak/>
        <w:t>Prihodi od k</w:t>
      </w:r>
      <w:r w:rsidR="00C875A5" w:rsidRPr="006B1AEE">
        <w:rPr>
          <w:rFonts w:eastAsiaTheme="minorEastAsia" w:cstheme="minorHAnsi"/>
          <w:lang w:eastAsia="hr-HR"/>
        </w:rPr>
        <w:t>apitaln</w:t>
      </w:r>
      <w:r w:rsidRPr="006B1AEE">
        <w:rPr>
          <w:rFonts w:eastAsiaTheme="minorEastAsia" w:cstheme="minorHAnsi"/>
          <w:lang w:eastAsia="hr-HR"/>
        </w:rPr>
        <w:t>ih</w:t>
      </w:r>
      <w:r w:rsidR="00C875A5" w:rsidRPr="006B1AEE">
        <w:rPr>
          <w:rFonts w:eastAsiaTheme="minorEastAsia" w:cstheme="minorHAnsi"/>
          <w:lang w:eastAsia="hr-HR"/>
        </w:rPr>
        <w:t xml:space="preserve"> pomoći proračunu iz drugih proračuna odnose se na doznačena sredstva za financiranje</w:t>
      </w:r>
      <w:r w:rsidR="000851CA">
        <w:rPr>
          <w:rFonts w:eastAsiaTheme="minorEastAsia" w:cstheme="minorHAnsi"/>
          <w:lang w:eastAsia="hr-HR"/>
        </w:rPr>
        <w:t xml:space="preserve"> programa</w:t>
      </w:r>
      <w:r w:rsidR="00C875A5" w:rsidRPr="006B1AEE">
        <w:rPr>
          <w:rFonts w:eastAsiaTheme="minorEastAsia" w:cstheme="minorHAnsi"/>
          <w:lang w:eastAsia="hr-HR"/>
        </w:rPr>
        <w:t xml:space="preserve"> gradnje županijskih i lokalnih cesta. Navedeni prihodi ostvareni su u iznosu</w:t>
      </w:r>
      <w:r w:rsidR="00AE4D50">
        <w:rPr>
          <w:rFonts w:eastAsiaTheme="minorEastAsia" w:cstheme="minorHAnsi"/>
          <w:lang w:eastAsia="hr-HR"/>
        </w:rPr>
        <w:t xml:space="preserve"> od</w:t>
      </w:r>
      <w:r w:rsidR="00C875A5" w:rsidRPr="006B1AEE">
        <w:rPr>
          <w:rFonts w:eastAsiaTheme="minorEastAsia" w:cstheme="minorHAnsi"/>
          <w:lang w:eastAsia="hr-HR"/>
        </w:rPr>
        <w:t xml:space="preserve"> </w:t>
      </w:r>
      <w:r w:rsidR="00695ED5">
        <w:rPr>
          <w:rFonts w:eastAsiaTheme="minorEastAsia" w:cstheme="minorHAnsi"/>
          <w:lang w:eastAsia="hr-HR"/>
        </w:rPr>
        <w:t>244.987,17</w:t>
      </w:r>
      <w:r w:rsidR="00C875A5" w:rsidRPr="006B1AEE">
        <w:rPr>
          <w:rFonts w:eastAsiaTheme="minorEastAsia" w:cstheme="minorHAnsi"/>
          <w:lang w:eastAsia="hr-HR"/>
        </w:rPr>
        <w:t xml:space="preserve"> eur</w:t>
      </w:r>
      <w:r w:rsidR="00695ED5">
        <w:rPr>
          <w:rFonts w:eastAsiaTheme="minorEastAsia" w:cstheme="minorHAnsi"/>
          <w:lang w:eastAsia="hr-HR"/>
        </w:rPr>
        <w:t>a</w:t>
      </w:r>
      <w:r w:rsidR="00C875A5" w:rsidRPr="006B1AEE">
        <w:rPr>
          <w:rFonts w:eastAsiaTheme="minorEastAsia" w:cstheme="minorHAnsi"/>
          <w:lang w:eastAsia="hr-HR"/>
        </w:rPr>
        <w:t xml:space="preserve"> i</w:t>
      </w:r>
      <w:r w:rsidR="00695ED5">
        <w:rPr>
          <w:rFonts w:eastAsiaTheme="minorEastAsia" w:cstheme="minorHAnsi"/>
          <w:lang w:eastAsia="hr-HR"/>
        </w:rPr>
        <w:t>li</w:t>
      </w:r>
      <w:r w:rsidR="00C875A5" w:rsidRPr="006B1AEE">
        <w:rPr>
          <w:rFonts w:eastAsiaTheme="minorEastAsia" w:cstheme="minorHAnsi"/>
          <w:lang w:eastAsia="hr-HR"/>
        </w:rPr>
        <w:t xml:space="preserve"> </w:t>
      </w:r>
      <w:r w:rsidR="00695ED5">
        <w:rPr>
          <w:rFonts w:eastAsiaTheme="minorEastAsia" w:cstheme="minorHAnsi"/>
          <w:lang w:eastAsia="hr-HR"/>
        </w:rPr>
        <w:t xml:space="preserve">9,76% godišnjeg plana, te za 194.987,17 eura više u odnosu na </w:t>
      </w:r>
      <w:r w:rsidR="001A6698">
        <w:rPr>
          <w:rFonts w:eastAsiaTheme="minorEastAsia" w:cstheme="minorHAnsi"/>
          <w:lang w:eastAsia="hr-HR"/>
        </w:rPr>
        <w:t>isto razdoblje prethodne godine.</w:t>
      </w:r>
      <w:r w:rsidR="001A6698" w:rsidRPr="006B1AEE">
        <w:rPr>
          <w:rFonts w:eastAsiaTheme="minorEastAsia" w:cstheme="minorHAnsi"/>
          <w:lang w:eastAsia="hr-HR"/>
        </w:rPr>
        <w:t xml:space="preserve"> </w:t>
      </w:r>
    </w:p>
    <w:p w14:paraId="00F9AF06" w14:textId="302855A7" w:rsidR="00061D3A" w:rsidRDefault="00F44EDE" w:rsidP="00C875A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>Prihodi od subjekata unutar općeg proračuna ostvaruju se sukladno dinamici realizacij</w:t>
      </w:r>
      <w:r w:rsidR="001A6698">
        <w:rPr>
          <w:rFonts w:eastAsiaTheme="minorEastAsia" w:cstheme="minorHAnsi"/>
          <w:lang w:eastAsia="hr-HR"/>
        </w:rPr>
        <w:t>e</w:t>
      </w:r>
      <w:r>
        <w:rPr>
          <w:rFonts w:eastAsiaTheme="minorEastAsia" w:cstheme="minorHAnsi"/>
          <w:lang w:eastAsia="hr-HR"/>
        </w:rPr>
        <w:t xml:space="preserve"> radova unutar programa izvanrednog održavanja cesta i programa gradnje cesta. </w:t>
      </w:r>
      <w:r w:rsidR="00783ECB">
        <w:rPr>
          <w:rFonts w:eastAsiaTheme="minorEastAsia" w:cstheme="minorHAnsi"/>
          <w:lang w:eastAsia="hr-HR"/>
        </w:rPr>
        <w:t>Planirani pr</w:t>
      </w:r>
      <w:r w:rsidR="00E22BCD">
        <w:rPr>
          <w:rFonts w:eastAsiaTheme="minorEastAsia" w:cstheme="minorHAnsi"/>
          <w:lang w:eastAsia="hr-HR"/>
        </w:rPr>
        <w:t>ihod od pomoći društva Hrvatske ceste d.o.o.</w:t>
      </w:r>
      <w:r w:rsidR="00783ECB">
        <w:rPr>
          <w:rFonts w:eastAsiaTheme="minorEastAsia" w:cstheme="minorHAnsi"/>
          <w:lang w:eastAsia="hr-HR"/>
        </w:rPr>
        <w:t xml:space="preserve"> ostvaruje </w:t>
      </w:r>
      <w:r w:rsidR="00C0420F">
        <w:rPr>
          <w:rFonts w:eastAsiaTheme="minorEastAsia" w:cstheme="minorHAnsi"/>
          <w:lang w:eastAsia="hr-HR"/>
        </w:rPr>
        <w:t xml:space="preserve">se </w:t>
      </w:r>
      <w:r w:rsidR="00783ECB">
        <w:rPr>
          <w:rFonts w:eastAsiaTheme="minorEastAsia" w:cstheme="minorHAnsi"/>
          <w:lang w:eastAsia="hr-HR"/>
        </w:rPr>
        <w:t xml:space="preserve">sukladno </w:t>
      </w:r>
      <w:r w:rsidR="00C0420F">
        <w:rPr>
          <w:rFonts w:eastAsiaTheme="minorEastAsia" w:cstheme="minorHAnsi"/>
          <w:lang w:eastAsia="hr-HR"/>
        </w:rPr>
        <w:t xml:space="preserve">zaključenom Ugovoru o aktivnostima, reguliranju obveza i sufinanciranju radova izmicanja ŽC5033 izvan naselja </w:t>
      </w:r>
      <w:proofErr w:type="spellStart"/>
      <w:r w:rsidR="00C0420F">
        <w:rPr>
          <w:rFonts w:eastAsiaTheme="minorEastAsia" w:cstheme="minorHAnsi"/>
          <w:lang w:eastAsia="hr-HR"/>
        </w:rPr>
        <w:t>Kuželj</w:t>
      </w:r>
      <w:proofErr w:type="spellEnd"/>
      <w:r w:rsidR="00C0420F">
        <w:rPr>
          <w:rFonts w:eastAsiaTheme="minorEastAsia" w:cstheme="minorHAnsi"/>
          <w:lang w:eastAsia="hr-HR"/>
        </w:rPr>
        <w:t xml:space="preserve">, </w:t>
      </w:r>
      <w:proofErr w:type="spellStart"/>
      <w:r w:rsidR="00C0420F">
        <w:rPr>
          <w:rFonts w:eastAsiaTheme="minorEastAsia" w:cstheme="minorHAnsi"/>
          <w:lang w:eastAsia="hr-HR"/>
        </w:rPr>
        <w:t>Grbajel</w:t>
      </w:r>
      <w:proofErr w:type="spellEnd"/>
      <w:r w:rsidR="00C0420F">
        <w:rPr>
          <w:rFonts w:eastAsiaTheme="minorEastAsia" w:cstheme="minorHAnsi"/>
          <w:lang w:eastAsia="hr-HR"/>
        </w:rPr>
        <w:t xml:space="preserve"> i Guče Selo </w:t>
      </w:r>
      <w:r w:rsidR="00E22BCD">
        <w:rPr>
          <w:rFonts w:eastAsiaTheme="minorEastAsia" w:cstheme="minorHAnsi"/>
          <w:lang w:eastAsia="hr-HR"/>
        </w:rPr>
        <w:t xml:space="preserve">te </w:t>
      </w:r>
      <w:r w:rsidR="00783ECB">
        <w:rPr>
          <w:rFonts w:eastAsiaTheme="minorEastAsia" w:cstheme="minorHAnsi"/>
          <w:lang w:eastAsia="hr-HR"/>
        </w:rPr>
        <w:t>se njegovo ostvarenje očekuje u drugoj polovici 2025. godine.</w:t>
      </w:r>
    </w:p>
    <w:p w14:paraId="7AB6C240" w14:textId="77777777" w:rsidR="00AB4983" w:rsidRPr="00CD5B87" w:rsidRDefault="00AB4983" w:rsidP="00AB498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Prihodi </w:t>
      </w:r>
      <w:r w:rsidRPr="00AB5231">
        <w:rPr>
          <w:rFonts w:cstheme="minorHAnsi"/>
        </w:rPr>
        <w:t>od pomoći od subjekata unutar općeg proračuna ostvareni su kako slijedi u nastavku:</w:t>
      </w:r>
    </w:p>
    <w:p w14:paraId="6B148899" w14:textId="0B025FEE" w:rsidR="00AB4983" w:rsidRPr="0078109B" w:rsidRDefault="00AB4983" w:rsidP="00F8051A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27" w:name="_Toc204162095"/>
      <w:r w:rsidRPr="0078109B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78109B">
        <w:rPr>
          <w:i w:val="0"/>
          <w:color w:val="222A35" w:themeColor="text2" w:themeShade="80"/>
          <w:sz w:val="22"/>
          <w:szCs w:val="22"/>
        </w:rPr>
        <w:fldChar w:fldCharType="begin"/>
      </w:r>
      <w:r w:rsidRPr="0078109B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78109B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0332D">
        <w:rPr>
          <w:i w:val="0"/>
          <w:noProof/>
          <w:color w:val="222A35" w:themeColor="text2" w:themeShade="80"/>
          <w:sz w:val="22"/>
          <w:szCs w:val="22"/>
        </w:rPr>
        <w:t>3</w:t>
      </w:r>
      <w:r w:rsidRPr="0078109B">
        <w:rPr>
          <w:i w:val="0"/>
          <w:color w:val="222A35" w:themeColor="text2" w:themeShade="80"/>
          <w:sz w:val="22"/>
          <w:szCs w:val="22"/>
        </w:rPr>
        <w:fldChar w:fldCharType="end"/>
      </w:r>
      <w:r w:rsidRPr="0078109B">
        <w:rPr>
          <w:i w:val="0"/>
          <w:color w:val="222A35" w:themeColor="text2" w:themeShade="80"/>
          <w:sz w:val="22"/>
          <w:szCs w:val="22"/>
        </w:rPr>
        <w:t xml:space="preserve">. </w:t>
      </w:r>
      <w:r w:rsidR="0078109B" w:rsidRPr="0078109B">
        <w:rPr>
          <w:i w:val="0"/>
          <w:color w:val="222A35" w:themeColor="text2" w:themeShade="80"/>
          <w:sz w:val="22"/>
          <w:szCs w:val="22"/>
        </w:rPr>
        <w:t>Prihodi od p</w:t>
      </w:r>
      <w:r w:rsidRPr="0078109B">
        <w:rPr>
          <w:i w:val="0"/>
          <w:color w:val="222A35" w:themeColor="text2" w:themeShade="80"/>
          <w:sz w:val="22"/>
          <w:szCs w:val="22"/>
        </w:rPr>
        <w:t>omoći od subjeka</w:t>
      </w:r>
      <w:r w:rsidR="0078109B" w:rsidRPr="0078109B">
        <w:rPr>
          <w:i w:val="0"/>
          <w:color w:val="222A35" w:themeColor="text2" w:themeShade="80"/>
          <w:sz w:val="22"/>
          <w:szCs w:val="22"/>
        </w:rPr>
        <w:t xml:space="preserve">ta unutar općeg proračuna </w:t>
      </w:r>
      <w:r w:rsidR="00E245A8">
        <w:rPr>
          <w:rFonts w:cstheme="minorHAnsi"/>
          <w:i w:val="0"/>
          <w:color w:val="222A35" w:themeColor="text2" w:themeShade="80"/>
          <w:sz w:val="22"/>
          <w:szCs w:val="22"/>
        </w:rPr>
        <w:t>u prvom polugodištu</w:t>
      </w:r>
      <w:r w:rsidR="00E245A8" w:rsidRPr="00E81B5C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="0078109B" w:rsidRPr="0078109B">
        <w:rPr>
          <w:i w:val="0"/>
          <w:color w:val="222A35" w:themeColor="text2" w:themeShade="80"/>
          <w:sz w:val="22"/>
          <w:szCs w:val="22"/>
        </w:rPr>
        <w:t>202</w:t>
      </w:r>
      <w:r w:rsidR="003E4A08">
        <w:rPr>
          <w:i w:val="0"/>
          <w:color w:val="222A35" w:themeColor="text2" w:themeShade="80"/>
          <w:sz w:val="22"/>
          <w:szCs w:val="22"/>
        </w:rPr>
        <w:t>5</w:t>
      </w:r>
      <w:r w:rsidRPr="0078109B">
        <w:rPr>
          <w:i w:val="0"/>
          <w:color w:val="222A35" w:themeColor="text2" w:themeShade="80"/>
          <w:sz w:val="22"/>
          <w:szCs w:val="22"/>
        </w:rPr>
        <w:t>. godin</w:t>
      </w:r>
      <w:r w:rsidR="00E245A8">
        <w:rPr>
          <w:i w:val="0"/>
          <w:color w:val="222A35" w:themeColor="text2" w:themeShade="80"/>
          <w:sz w:val="22"/>
          <w:szCs w:val="22"/>
        </w:rPr>
        <w:t>e</w:t>
      </w:r>
      <w:bookmarkEnd w:id="27"/>
    </w:p>
    <w:tbl>
      <w:tblPr>
        <w:tblW w:w="9630" w:type="dxa"/>
        <w:tblLook w:val="04A0" w:firstRow="1" w:lastRow="0" w:firstColumn="1" w:lastColumn="0" w:noHBand="0" w:noVBand="1"/>
      </w:tblPr>
      <w:tblGrid>
        <w:gridCol w:w="844"/>
        <w:gridCol w:w="2580"/>
        <w:gridCol w:w="2098"/>
        <w:gridCol w:w="1701"/>
        <w:gridCol w:w="1701"/>
        <w:gridCol w:w="706"/>
      </w:tblGrid>
      <w:tr w:rsidR="00344061" w:rsidRPr="00344061" w14:paraId="0B08CAA7" w14:textId="77777777" w:rsidTr="00344061">
        <w:trPr>
          <w:trHeight w:val="4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AC45D0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Oznaka ceste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FF1128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Dionica/lokacija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420825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Grad/Općina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3F3A65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618D98" w14:textId="77777777" w:rsid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</w:p>
          <w:p w14:paraId="20B0356C" w14:textId="5FE499CB" w:rsidR="00344061" w:rsidRPr="00344061" w:rsidRDefault="0064573A" w:rsidP="00645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I-VI </w:t>
            </w:r>
            <w:r w:rsidR="00344061"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FE261C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5./4.</w:t>
            </w:r>
          </w:p>
        </w:tc>
      </w:tr>
      <w:tr w:rsidR="00344061" w:rsidRPr="00344061" w14:paraId="6135935C" w14:textId="77777777" w:rsidTr="00344061">
        <w:trPr>
          <w:trHeight w:val="2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3145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24A4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9C18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993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49D6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4CEA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344061" w:rsidRPr="00344061" w14:paraId="7620D2E0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30F0E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75B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Zoretići</w:t>
            </w:r>
            <w:proofErr w:type="spellEnd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Kukuljani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8B7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Jelenje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D3F5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95BE2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29.197,84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CCEF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83,42</w:t>
            </w:r>
          </w:p>
        </w:tc>
      </w:tr>
      <w:tr w:rsidR="00344061" w:rsidRPr="00344061" w14:paraId="2EC036ED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6C47F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3659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Kostrena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AB19F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Kostrena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10EF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5128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2513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4061" w:rsidRPr="00344061" w14:paraId="527C6A76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E0AA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A6F0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Malinska</w:t>
            </w:r>
            <w:proofErr w:type="spellEnd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FC1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Malinska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D7B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5352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5040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4061" w:rsidRPr="00344061" w14:paraId="37FEDE84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D0816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BF7F4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Krk, Vrh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41BD0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E20B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6D8D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28.897,15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A4D9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96,32</w:t>
            </w:r>
          </w:p>
        </w:tc>
      </w:tr>
      <w:tr w:rsidR="00344061" w:rsidRPr="00344061" w14:paraId="21447534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B44F2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0CD56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2126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52DC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A067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17F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4061" w:rsidRPr="00344061" w14:paraId="669EB05D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0AF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16C6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Turističko naselje San Marino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90BC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Lopar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37DD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180.153,74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602A2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174.151,59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E987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96,67</w:t>
            </w:r>
          </w:p>
        </w:tc>
      </w:tr>
      <w:tr w:rsidR="00344061" w:rsidRPr="00344061" w14:paraId="3A8BD8F3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D532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D134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Ravno-Pleteno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A36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Novi Vinodolski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E629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085C5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9D00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4061" w:rsidRPr="00344061" w14:paraId="78D4F831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EB4DA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ŽC5087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C91E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Šilo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4709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Dobrinj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F485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188.964,10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A5A66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70.835,58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CADA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37,49</w:t>
            </w:r>
          </w:p>
        </w:tc>
      </w:tr>
      <w:tr w:rsidR="00344061" w:rsidRPr="00344061" w14:paraId="599EDA71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25854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50F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6514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9D71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94.215,48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49E1E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47.658,95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A2DD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50,59</w:t>
            </w:r>
          </w:p>
        </w:tc>
      </w:tr>
      <w:tr w:rsidR="00344061" w:rsidRPr="00344061" w14:paraId="729B447E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F8F1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LC58067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11DD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Rasopasno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1CB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Dobrinj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1CC8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34.649,87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FF3E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30.446,58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DE83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87,87</w:t>
            </w:r>
          </w:p>
        </w:tc>
      </w:tr>
      <w:tr w:rsidR="00344061" w:rsidRPr="00344061" w14:paraId="6F2A27B3" w14:textId="77777777" w:rsidTr="00344061">
        <w:trPr>
          <w:trHeight w:val="340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99F8E2F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 GRADOVI/OPĆINE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91E7705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1.006.983,19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0C8BB67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381.187,69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FCA4E49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37,85</w:t>
            </w:r>
          </w:p>
        </w:tc>
      </w:tr>
      <w:tr w:rsidR="00344061" w:rsidRPr="00344061" w14:paraId="1E616B6B" w14:textId="77777777" w:rsidTr="00344061">
        <w:trPr>
          <w:trHeight w:val="48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41EE6C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Oznaka ceste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646A64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Dionica/lokacija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527145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Subjekt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D02FF8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4F5ABE" w14:textId="77777777" w:rsidR="0064573A" w:rsidRDefault="0064573A" w:rsidP="00645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</w:p>
          <w:p w14:paraId="48CD1702" w14:textId="64590636" w:rsidR="00344061" w:rsidRPr="00344061" w:rsidRDefault="0064573A" w:rsidP="00645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I-VI </w:t>
            </w: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F8805D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5./4.</w:t>
            </w:r>
          </w:p>
        </w:tc>
      </w:tr>
      <w:tr w:rsidR="00344061" w:rsidRPr="00344061" w14:paraId="006ABC2A" w14:textId="77777777" w:rsidTr="00344061">
        <w:trPr>
          <w:trHeight w:val="2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B6A0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C7EE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CAF4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D625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2BAC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4458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344061" w:rsidRPr="00344061" w14:paraId="67DB7748" w14:textId="77777777" w:rsidTr="00344061">
        <w:trPr>
          <w:trHeight w:val="3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42B8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 5033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4DCF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Kuželj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FB0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Hrvatske ceste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47B9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6FEB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5527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4061" w:rsidRPr="00344061" w14:paraId="0D27D27A" w14:textId="77777777" w:rsidTr="00344061">
        <w:trPr>
          <w:trHeight w:val="340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7BF53F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37C67E6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6AABF9D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F85DACD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4061" w:rsidRPr="00344061" w14:paraId="7139B841" w14:textId="77777777" w:rsidTr="00344061">
        <w:trPr>
          <w:trHeight w:val="340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4BC24A4B" w14:textId="77777777" w:rsidR="00344061" w:rsidRPr="00344061" w:rsidRDefault="00344061" w:rsidP="0034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SUFINANCIRANJA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77A8ED05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3.147.983,19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2699C77D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381.187,69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7486C4D3" w14:textId="77777777" w:rsidR="00344061" w:rsidRPr="00344061" w:rsidRDefault="00344061" w:rsidP="00344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40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12,11</w:t>
            </w:r>
          </w:p>
        </w:tc>
      </w:tr>
    </w:tbl>
    <w:p w14:paraId="77C992EC" w14:textId="77777777" w:rsidR="000B3A72" w:rsidRDefault="000B3A72" w:rsidP="007A33C7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Prihodi od imovine</w:t>
      </w:r>
    </w:p>
    <w:p w14:paraId="760E4EF6" w14:textId="4185BD94" w:rsidR="000B3A72" w:rsidRPr="00CD5B87" w:rsidRDefault="000B3A72" w:rsidP="007A33C7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Prihodi od imovine planir</w:t>
      </w:r>
      <w:r w:rsidR="00704B4D">
        <w:rPr>
          <w:rFonts w:cstheme="minorHAnsi"/>
        </w:rPr>
        <w:t xml:space="preserve">ani su u iznosu od </w:t>
      </w:r>
      <w:r w:rsidR="00F9607E">
        <w:rPr>
          <w:rFonts w:cstheme="minorHAnsi"/>
        </w:rPr>
        <w:t>13.102.500,00</w:t>
      </w:r>
      <w:r w:rsidR="000B0D04">
        <w:rPr>
          <w:rFonts w:cstheme="minorHAnsi"/>
        </w:rPr>
        <w:t xml:space="preserve"> eur</w:t>
      </w:r>
      <w:r w:rsidR="00F9607E">
        <w:rPr>
          <w:rFonts w:cstheme="minorHAnsi"/>
        </w:rPr>
        <w:t>a</w:t>
      </w:r>
      <w:r w:rsidRPr="00CD5B87">
        <w:rPr>
          <w:rFonts w:cstheme="minorHAnsi"/>
        </w:rPr>
        <w:t xml:space="preserve">, a ostvareni </w:t>
      </w:r>
      <w:r w:rsidR="00061D3A">
        <w:rPr>
          <w:rFonts w:cstheme="minorHAnsi"/>
        </w:rPr>
        <w:t>su u prvom polugodištu 202</w:t>
      </w:r>
      <w:r w:rsidR="00F9607E">
        <w:rPr>
          <w:rFonts w:cstheme="minorHAnsi"/>
        </w:rPr>
        <w:t>5</w:t>
      </w:r>
      <w:r w:rsidR="00061D3A">
        <w:rPr>
          <w:rFonts w:cstheme="minorHAnsi"/>
        </w:rPr>
        <w:t xml:space="preserve">. godine </w:t>
      </w:r>
      <w:r w:rsidRPr="00CD5B87">
        <w:rPr>
          <w:rFonts w:cstheme="minorHAnsi"/>
        </w:rPr>
        <w:t xml:space="preserve">u </w:t>
      </w:r>
      <w:r w:rsidR="00F70156">
        <w:rPr>
          <w:rFonts w:cstheme="minorHAnsi"/>
        </w:rPr>
        <w:t>i</w:t>
      </w:r>
      <w:r w:rsidR="00704B4D">
        <w:rPr>
          <w:rFonts w:cstheme="minorHAnsi"/>
        </w:rPr>
        <w:t xml:space="preserve">znosu od </w:t>
      </w:r>
      <w:r w:rsidR="00F9607E">
        <w:rPr>
          <w:rFonts w:cstheme="minorHAnsi"/>
        </w:rPr>
        <w:t>6.829.669,60</w:t>
      </w:r>
      <w:r w:rsidR="000B0D04">
        <w:rPr>
          <w:rFonts w:cstheme="minorHAnsi"/>
        </w:rPr>
        <w:t xml:space="preserve"> eur</w:t>
      </w:r>
      <w:r w:rsidR="00F9607E">
        <w:rPr>
          <w:rFonts w:cstheme="minorHAnsi"/>
        </w:rPr>
        <w:t>a</w:t>
      </w:r>
      <w:r w:rsidR="00704B4D">
        <w:rPr>
          <w:rFonts w:cstheme="minorHAnsi"/>
        </w:rPr>
        <w:t xml:space="preserve"> što čini </w:t>
      </w:r>
      <w:r w:rsidR="00F9607E">
        <w:rPr>
          <w:rFonts w:cstheme="minorHAnsi"/>
        </w:rPr>
        <w:t>52,12</w:t>
      </w:r>
      <w:r w:rsidRPr="00CD5B87">
        <w:rPr>
          <w:rFonts w:cstheme="minorHAnsi"/>
        </w:rPr>
        <w:t>% godišnjeg plana. U odnosu na isto razdoblje pretho</w:t>
      </w:r>
      <w:r w:rsidR="00F70156">
        <w:rPr>
          <w:rFonts w:cstheme="minorHAnsi"/>
        </w:rPr>
        <w:t>dn</w:t>
      </w:r>
      <w:r w:rsidR="00704B4D">
        <w:rPr>
          <w:rFonts w:cstheme="minorHAnsi"/>
        </w:rPr>
        <w:t xml:space="preserve">e godine ostvareni prihodi </w:t>
      </w:r>
      <w:r w:rsidR="00F9607E">
        <w:rPr>
          <w:rFonts w:cstheme="minorHAnsi"/>
        </w:rPr>
        <w:t>veći</w:t>
      </w:r>
      <w:r w:rsidR="009640A4">
        <w:rPr>
          <w:rFonts w:cstheme="minorHAnsi"/>
        </w:rPr>
        <w:t xml:space="preserve"> su </w:t>
      </w:r>
      <w:r w:rsidR="00F9607E">
        <w:rPr>
          <w:rFonts w:cstheme="minorHAnsi"/>
        </w:rPr>
        <w:t>za 526.222,42</w:t>
      </w:r>
      <w:r w:rsidR="009640A4">
        <w:rPr>
          <w:rFonts w:cstheme="minorHAnsi"/>
        </w:rPr>
        <w:t xml:space="preserve"> eur</w:t>
      </w:r>
      <w:r w:rsidR="00F9607E">
        <w:rPr>
          <w:rFonts w:cstheme="minorHAnsi"/>
        </w:rPr>
        <w:t>a</w:t>
      </w:r>
      <w:r w:rsidR="009640A4">
        <w:rPr>
          <w:rFonts w:cstheme="minorHAnsi"/>
        </w:rPr>
        <w:t xml:space="preserve"> </w:t>
      </w:r>
      <w:r w:rsidR="00D64FCE">
        <w:rPr>
          <w:rFonts w:cstheme="minorHAnsi"/>
        </w:rPr>
        <w:t xml:space="preserve">ili </w:t>
      </w:r>
      <w:r w:rsidR="00F9607E">
        <w:rPr>
          <w:rFonts w:cstheme="minorHAnsi"/>
        </w:rPr>
        <w:t>8,35</w:t>
      </w:r>
      <w:r w:rsidR="00C07B10">
        <w:rPr>
          <w:rFonts w:cstheme="minorHAnsi"/>
        </w:rPr>
        <w:t xml:space="preserve">%. </w:t>
      </w:r>
      <w:r w:rsidRPr="00CD5B87">
        <w:rPr>
          <w:rFonts w:cstheme="minorHAnsi"/>
        </w:rPr>
        <w:t>Ostvarene prihode od imovine čine prihodi od financijske imovine i prihodi od nefinancijske imovine.</w:t>
      </w:r>
    </w:p>
    <w:p w14:paraId="37833F04" w14:textId="29ADF088" w:rsidR="00394810" w:rsidRDefault="000B3A72" w:rsidP="0039481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FB4B53">
        <w:rPr>
          <w:rFonts w:cstheme="minorHAnsi"/>
          <w:b/>
        </w:rPr>
        <w:t xml:space="preserve">Prihodi od financijske imovine </w:t>
      </w:r>
      <w:r w:rsidR="000F0BCD" w:rsidRPr="000F0BCD">
        <w:rPr>
          <w:rFonts w:cstheme="minorHAnsi"/>
        </w:rPr>
        <w:t xml:space="preserve">ostvareni </w:t>
      </w:r>
      <w:r w:rsidR="00DA75D6">
        <w:rPr>
          <w:rFonts w:cstheme="minorHAnsi"/>
        </w:rPr>
        <w:t>s</w:t>
      </w:r>
      <w:r w:rsidR="000F0BCD" w:rsidRPr="000F0BCD">
        <w:rPr>
          <w:rFonts w:cstheme="minorHAnsi"/>
        </w:rPr>
        <w:t>u</w:t>
      </w:r>
      <w:r w:rsidR="00DA75D6">
        <w:rPr>
          <w:rFonts w:cstheme="minorHAnsi"/>
        </w:rPr>
        <w:t xml:space="preserve"> u</w:t>
      </w:r>
      <w:r w:rsidR="00D631B3">
        <w:rPr>
          <w:rFonts w:cstheme="minorHAnsi"/>
        </w:rPr>
        <w:t xml:space="preserve"> iznosu od </w:t>
      </w:r>
      <w:r w:rsidR="003E4A08">
        <w:rPr>
          <w:rFonts w:cstheme="minorHAnsi"/>
        </w:rPr>
        <w:t>10.360,20</w:t>
      </w:r>
      <w:r w:rsidR="00D631B3">
        <w:rPr>
          <w:rFonts w:cstheme="minorHAnsi"/>
        </w:rPr>
        <w:t xml:space="preserve"> eur</w:t>
      </w:r>
      <w:r w:rsidR="003E4A08">
        <w:rPr>
          <w:rFonts w:cstheme="minorHAnsi"/>
        </w:rPr>
        <w:t>a</w:t>
      </w:r>
      <w:r w:rsidR="000F0BCD" w:rsidRPr="000F0BCD">
        <w:rPr>
          <w:rFonts w:cstheme="minorHAnsi"/>
        </w:rPr>
        <w:t xml:space="preserve"> ili </w:t>
      </w:r>
      <w:r w:rsidR="003E4A08">
        <w:rPr>
          <w:rFonts w:cstheme="minorHAnsi"/>
        </w:rPr>
        <w:t xml:space="preserve">6.188,17 eura više </w:t>
      </w:r>
      <w:r w:rsidR="000F0BCD" w:rsidRPr="000F0BCD">
        <w:rPr>
          <w:rFonts w:cstheme="minorHAnsi"/>
        </w:rPr>
        <w:t xml:space="preserve">u odnosu na isto razdoblje prethodne godine. </w:t>
      </w:r>
      <w:r w:rsidR="00394810">
        <w:rPr>
          <w:rFonts w:eastAsiaTheme="minorEastAsia" w:cstheme="minorHAnsi"/>
          <w:lang w:eastAsia="hr-HR"/>
        </w:rPr>
        <w:t xml:space="preserve">Ostvarenje ovih prihoda </w:t>
      </w:r>
      <w:r w:rsidR="00E22BCD">
        <w:rPr>
          <w:rFonts w:cstheme="minorHAnsi"/>
        </w:rPr>
        <w:t xml:space="preserve">u prvom polugodištu 2025. godine </w:t>
      </w:r>
      <w:r w:rsidR="00394810">
        <w:rPr>
          <w:rFonts w:eastAsiaTheme="minorEastAsia" w:cstheme="minorHAnsi"/>
          <w:lang w:eastAsia="hr-HR"/>
        </w:rPr>
        <w:t>odnosi</w:t>
      </w:r>
      <w:r w:rsidR="00394810" w:rsidRPr="00293B8A">
        <w:rPr>
          <w:rFonts w:eastAsiaTheme="minorEastAsia" w:cstheme="minorHAnsi"/>
          <w:lang w:eastAsia="hr-HR"/>
        </w:rPr>
        <w:t xml:space="preserve"> se na prihode od kamata na novčana sredstva na transakcijskom računu u Privrednoj banci d.d.</w:t>
      </w:r>
      <w:r w:rsidR="00394810">
        <w:rPr>
          <w:rFonts w:eastAsiaTheme="minorEastAsia" w:cstheme="minorHAnsi"/>
          <w:lang w:eastAsia="hr-HR"/>
        </w:rPr>
        <w:t xml:space="preserve"> u iznosu od 3.429,49 eura. U ovom razdoblju ostvareni su </w:t>
      </w:r>
      <w:r w:rsidR="00C0420F">
        <w:rPr>
          <w:rFonts w:eastAsiaTheme="minorEastAsia" w:cstheme="minorHAnsi"/>
          <w:lang w:eastAsia="hr-HR"/>
        </w:rPr>
        <w:t>i</w:t>
      </w:r>
      <w:r w:rsidR="00394810">
        <w:rPr>
          <w:rFonts w:eastAsiaTheme="minorEastAsia" w:cstheme="minorHAnsi"/>
          <w:lang w:eastAsia="hr-HR"/>
        </w:rPr>
        <w:t xml:space="preserve"> prihodi od zateznih kamata u visini 6.930,71 eura temeljem Rješenja o ovrsi Općinskog građanskog suda Zagreb nad </w:t>
      </w:r>
      <w:proofErr w:type="spellStart"/>
      <w:r w:rsidR="00394810">
        <w:rPr>
          <w:rFonts w:eastAsiaTheme="minorEastAsia" w:cstheme="minorHAnsi"/>
          <w:lang w:eastAsia="hr-HR"/>
        </w:rPr>
        <w:t>ovršenikom</w:t>
      </w:r>
      <w:proofErr w:type="spellEnd"/>
      <w:r w:rsidR="00394810">
        <w:rPr>
          <w:rFonts w:eastAsiaTheme="minorEastAsia" w:cstheme="minorHAnsi"/>
          <w:lang w:eastAsia="hr-HR"/>
        </w:rPr>
        <w:t xml:space="preserve"> Hrvatski telekom d.d. Zagreb, zbog nepodmirene obveze na ime naknade s osnova prava puta utvrđene Rješenjem Hrvatske regulatorne agencije za mrežne djelatnosti, što je najveći razlog </w:t>
      </w:r>
      <w:r w:rsidR="001A6698">
        <w:rPr>
          <w:rFonts w:eastAsiaTheme="minorEastAsia" w:cstheme="minorHAnsi"/>
          <w:lang w:eastAsia="hr-HR"/>
        </w:rPr>
        <w:t>povećanja prihoda od financijske imovine u odnosu na isto razdoblje prethodne godine.</w:t>
      </w:r>
    </w:p>
    <w:p w14:paraId="1BF12211" w14:textId="48568E61" w:rsidR="000B3A72" w:rsidRPr="007B7DD9" w:rsidRDefault="000B3A72" w:rsidP="0039481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7B7DD9">
        <w:rPr>
          <w:rFonts w:cstheme="minorHAnsi"/>
          <w:b/>
        </w:rPr>
        <w:t>Prihodi od nefinancijske imovine</w:t>
      </w:r>
      <w:r w:rsidRPr="007B7DD9">
        <w:rPr>
          <w:rFonts w:cstheme="minorHAnsi"/>
        </w:rPr>
        <w:t xml:space="preserve"> obuhvaćaju prihode od naknada za </w:t>
      </w:r>
      <w:r w:rsidR="00DA75D6" w:rsidRPr="007B7DD9">
        <w:rPr>
          <w:rFonts w:cstheme="minorHAnsi"/>
        </w:rPr>
        <w:t xml:space="preserve">uporabu javnih </w:t>
      </w:r>
      <w:r w:rsidRPr="007B7DD9">
        <w:rPr>
          <w:rFonts w:cstheme="minorHAnsi"/>
        </w:rPr>
        <w:t>cest</w:t>
      </w:r>
      <w:r w:rsidR="00DA75D6" w:rsidRPr="007B7DD9">
        <w:rPr>
          <w:rFonts w:cstheme="minorHAnsi"/>
        </w:rPr>
        <w:t>a</w:t>
      </w:r>
      <w:r w:rsidR="00E87CFF" w:rsidRPr="007B7DD9">
        <w:rPr>
          <w:rFonts w:cstheme="minorHAnsi"/>
        </w:rPr>
        <w:t>,</w:t>
      </w:r>
      <w:r w:rsidR="000142A9" w:rsidRPr="007B7DD9">
        <w:rPr>
          <w:rFonts w:cstheme="minorHAnsi"/>
        </w:rPr>
        <w:t xml:space="preserve"> naknade za izvanredni prijevoz</w:t>
      </w:r>
      <w:r w:rsidR="001A6698" w:rsidRPr="007B7DD9">
        <w:rPr>
          <w:rFonts w:cstheme="minorHAnsi"/>
        </w:rPr>
        <w:t>,</w:t>
      </w:r>
      <w:r w:rsidR="003A4E05" w:rsidRPr="007B7DD9">
        <w:rPr>
          <w:rFonts w:cstheme="minorHAnsi"/>
        </w:rPr>
        <w:t xml:space="preserve"> </w:t>
      </w:r>
      <w:r w:rsidR="00E87CFF" w:rsidRPr="007B7DD9">
        <w:rPr>
          <w:rFonts w:cstheme="minorHAnsi"/>
        </w:rPr>
        <w:t>naknada za korištenje cestovnog zemljišta</w:t>
      </w:r>
      <w:r w:rsidR="001A6698" w:rsidRPr="007B7DD9">
        <w:rPr>
          <w:rFonts w:cstheme="minorHAnsi"/>
        </w:rPr>
        <w:t xml:space="preserve"> i naknada za osnivanje prava služnosti</w:t>
      </w:r>
      <w:r w:rsidR="00E87CFF" w:rsidRPr="007B7DD9">
        <w:rPr>
          <w:rFonts w:cstheme="minorHAnsi"/>
        </w:rPr>
        <w:t xml:space="preserve">, </w:t>
      </w:r>
      <w:r w:rsidRPr="007B7DD9">
        <w:rPr>
          <w:rFonts w:cstheme="minorHAnsi"/>
        </w:rPr>
        <w:t>a ostvar</w:t>
      </w:r>
      <w:r w:rsidR="000142A9" w:rsidRPr="007B7DD9">
        <w:rPr>
          <w:rFonts w:cstheme="minorHAnsi"/>
        </w:rPr>
        <w:t xml:space="preserve">eni su u iznosu od </w:t>
      </w:r>
      <w:r w:rsidR="00F9607E" w:rsidRPr="007B7DD9">
        <w:rPr>
          <w:rFonts w:cstheme="minorHAnsi"/>
        </w:rPr>
        <w:t>6.819.309,40 eura</w:t>
      </w:r>
      <w:r w:rsidR="000142A9" w:rsidRPr="007B7DD9">
        <w:rPr>
          <w:rFonts w:cstheme="minorHAnsi"/>
        </w:rPr>
        <w:t xml:space="preserve"> ili </w:t>
      </w:r>
      <w:r w:rsidR="00F9607E" w:rsidRPr="007B7DD9">
        <w:rPr>
          <w:rFonts w:cstheme="minorHAnsi"/>
        </w:rPr>
        <w:t>52,08</w:t>
      </w:r>
      <w:r w:rsidRPr="007B7DD9">
        <w:rPr>
          <w:rFonts w:cstheme="minorHAnsi"/>
        </w:rPr>
        <w:t>% godišnjeg plana</w:t>
      </w:r>
      <w:r w:rsidR="001A6698" w:rsidRPr="007B7DD9">
        <w:rPr>
          <w:rFonts w:cstheme="minorHAnsi"/>
        </w:rPr>
        <w:t xml:space="preserve"> odnosno 520.034,25 eura </w:t>
      </w:r>
      <w:r w:rsidR="00F95879">
        <w:rPr>
          <w:rFonts w:cstheme="minorHAnsi"/>
        </w:rPr>
        <w:t xml:space="preserve">ili 8,25% </w:t>
      </w:r>
      <w:r w:rsidR="001A6698" w:rsidRPr="007B7DD9">
        <w:rPr>
          <w:rFonts w:cstheme="minorHAnsi"/>
        </w:rPr>
        <w:t xml:space="preserve">više </w:t>
      </w:r>
      <w:r w:rsidR="001A6698" w:rsidRPr="007B7DD9">
        <w:rPr>
          <w:rFonts w:cstheme="minorHAnsi"/>
        </w:rPr>
        <w:lastRenderedPageBreak/>
        <w:t>u odnosu na isto razdoblje prethodne godine.</w:t>
      </w:r>
    </w:p>
    <w:p w14:paraId="422E7CF6" w14:textId="22D405F4" w:rsidR="00E87CFF" w:rsidRPr="007B7DD9" w:rsidRDefault="00480611" w:rsidP="00E87CF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 w:rsidRPr="007B7DD9">
        <w:rPr>
          <w:rFonts w:eastAsia="Times New Roman" w:cstheme="minorHAnsi"/>
        </w:rPr>
        <w:t>Prihodi</w:t>
      </w:r>
      <w:r w:rsidR="00E87CFF" w:rsidRPr="007B7DD9">
        <w:rPr>
          <w:rFonts w:eastAsia="Times New Roman" w:cstheme="minorHAnsi"/>
        </w:rPr>
        <w:t xml:space="preserve"> od nefinancijske imovine ostvareni su kako slijedi:</w:t>
      </w:r>
    </w:p>
    <w:p w14:paraId="7E3E78EE" w14:textId="40ADED68" w:rsidR="00A34CAD" w:rsidRPr="007B7DD9" w:rsidRDefault="00E87CFF" w:rsidP="003A4E05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40" w:lineRule="auto"/>
        <w:ind w:left="130" w:hanging="130"/>
        <w:jc w:val="both"/>
        <w:rPr>
          <w:rFonts w:eastAsiaTheme="minorEastAsia" w:cstheme="minorHAnsi"/>
          <w:lang w:eastAsia="hr-HR"/>
        </w:rPr>
      </w:pPr>
      <w:r w:rsidRPr="007B7DD9">
        <w:rPr>
          <w:rFonts w:eastAsia="Times New Roman" w:cstheme="minorHAnsi"/>
        </w:rPr>
        <w:t>p</w:t>
      </w:r>
      <w:r w:rsidRPr="007B7DD9">
        <w:rPr>
          <w:rFonts w:eastAsiaTheme="minorEastAsia" w:cstheme="minorHAnsi"/>
          <w:lang w:eastAsia="hr-HR"/>
        </w:rPr>
        <w:t>rihodi od godišnje naknade za uporabu javnih cesta koja se plaća pri registraciji motornih i priključnih vozila</w:t>
      </w:r>
      <w:r w:rsidR="00A34CAD" w:rsidRPr="007B7DD9">
        <w:rPr>
          <w:rFonts w:eastAsiaTheme="minorEastAsia" w:cstheme="minorHAnsi"/>
          <w:lang w:eastAsia="hr-HR"/>
        </w:rPr>
        <w:t xml:space="preserve"> </w:t>
      </w:r>
      <w:r w:rsidRPr="007B7DD9">
        <w:rPr>
          <w:rFonts w:eastAsiaTheme="minorEastAsia" w:cstheme="minorHAnsi"/>
          <w:lang w:eastAsia="hr-HR"/>
        </w:rPr>
        <w:t xml:space="preserve">u iznosu od </w:t>
      </w:r>
      <w:r w:rsidR="002B1F1F" w:rsidRPr="007B7DD9">
        <w:rPr>
          <w:rFonts w:eastAsiaTheme="minorEastAsia" w:cstheme="minorHAnsi"/>
          <w:lang w:eastAsia="hr-HR"/>
        </w:rPr>
        <w:t>6.476.439,25</w:t>
      </w:r>
      <w:r w:rsidRPr="007B7DD9">
        <w:rPr>
          <w:rFonts w:eastAsiaTheme="minorEastAsia" w:cstheme="minorHAnsi"/>
          <w:lang w:eastAsia="hr-HR"/>
        </w:rPr>
        <w:t xml:space="preserve"> eur</w:t>
      </w:r>
      <w:r w:rsidR="002B1F1F" w:rsidRPr="007B7DD9">
        <w:rPr>
          <w:rFonts w:eastAsiaTheme="minorEastAsia" w:cstheme="minorHAnsi"/>
          <w:lang w:eastAsia="hr-HR"/>
        </w:rPr>
        <w:t>a</w:t>
      </w:r>
      <w:r w:rsidRPr="007B7DD9">
        <w:rPr>
          <w:rFonts w:eastAsiaTheme="minorEastAsia" w:cstheme="minorHAnsi"/>
          <w:lang w:eastAsia="hr-HR"/>
        </w:rPr>
        <w:t xml:space="preserve"> (ostvareno </w:t>
      </w:r>
      <w:r w:rsidR="00F95879">
        <w:rPr>
          <w:rFonts w:eastAsiaTheme="minorEastAsia" w:cstheme="minorHAnsi"/>
          <w:lang w:eastAsia="hr-HR"/>
        </w:rPr>
        <w:t xml:space="preserve">50,93% godišnjeg plana i </w:t>
      </w:r>
      <w:r w:rsidR="002B1F1F" w:rsidRPr="007B7DD9">
        <w:rPr>
          <w:rFonts w:eastAsiaTheme="minorEastAsia" w:cstheme="minorHAnsi"/>
          <w:lang w:eastAsia="hr-HR"/>
        </w:rPr>
        <w:t>3,61</w:t>
      </w:r>
      <w:r w:rsidRPr="007B7DD9">
        <w:rPr>
          <w:rFonts w:eastAsiaTheme="minorEastAsia" w:cstheme="minorHAnsi"/>
          <w:lang w:eastAsia="hr-HR"/>
        </w:rPr>
        <w:t xml:space="preserve">% više u odnosu na isto razdoblje prethodne godine), </w:t>
      </w:r>
    </w:p>
    <w:p w14:paraId="7B3F6BB9" w14:textId="6B798AA4" w:rsidR="00C553BD" w:rsidRPr="007B7DD9" w:rsidRDefault="00DA75D6" w:rsidP="003A4E05">
      <w:pPr>
        <w:pStyle w:val="Odlomakpopisa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eastAsiaTheme="minorEastAsia" w:cstheme="minorHAnsi"/>
          <w:lang w:eastAsia="hr-HR"/>
        </w:rPr>
      </w:pPr>
      <w:r w:rsidRPr="007B7DD9">
        <w:rPr>
          <w:rFonts w:eastAsiaTheme="minorEastAsia" w:cstheme="minorHAnsi"/>
          <w:lang w:eastAsia="hr-HR"/>
        </w:rPr>
        <w:t xml:space="preserve">naknade za izvanredni prijevoz u iznosu od </w:t>
      </w:r>
      <w:r w:rsidR="002B1F1F" w:rsidRPr="007B7DD9">
        <w:rPr>
          <w:rFonts w:eastAsiaTheme="minorEastAsia" w:cstheme="minorHAnsi"/>
          <w:lang w:eastAsia="hr-HR"/>
        </w:rPr>
        <w:t>2.478,41</w:t>
      </w:r>
      <w:r w:rsidRPr="007B7DD9">
        <w:rPr>
          <w:rFonts w:eastAsiaTheme="minorEastAsia" w:cstheme="minorHAnsi"/>
          <w:lang w:eastAsia="hr-HR"/>
        </w:rPr>
        <w:t xml:space="preserve"> eur</w:t>
      </w:r>
      <w:r w:rsidR="002B1F1F" w:rsidRPr="007B7DD9">
        <w:rPr>
          <w:rFonts w:eastAsiaTheme="minorEastAsia" w:cstheme="minorHAnsi"/>
          <w:lang w:eastAsia="hr-HR"/>
        </w:rPr>
        <w:t>a</w:t>
      </w:r>
      <w:r w:rsidRPr="007B7DD9">
        <w:rPr>
          <w:rFonts w:eastAsiaTheme="minorEastAsia" w:cstheme="minorHAnsi"/>
          <w:lang w:eastAsia="hr-HR"/>
        </w:rPr>
        <w:t xml:space="preserve"> (ostvareno </w:t>
      </w:r>
      <w:r w:rsidR="00F95879">
        <w:rPr>
          <w:rFonts w:eastAsiaTheme="minorEastAsia" w:cstheme="minorHAnsi"/>
          <w:lang w:eastAsia="hr-HR"/>
        </w:rPr>
        <w:t xml:space="preserve">55,08% godišnjeg plana i </w:t>
      </w:r>
      <w:r w:rsidR="002B1F1F" w:rsidRPr="007B7DD9">
        <w:rPr>
          <w:rFonts w:eastAsiaTheme="minorEastAsia" w:cstheme="minorHAnsi"/>
          <w:lang w:eastAsia="hr-HR"/>
        </w:rPr>
        <w:t>26,44</w:t>
      </w:r>
      <w:r w:rsidRPr="007B7DD9">
        <w:rPr>
          <w:rFonts w:eastAsiaTheme="minorEastAsia" w:cstheme="minorHAnsi"/>
          <w:lang w:eastAsia="hr-HR"/>
        </w:rPr>
        <w:t xml:space="preserve">% </w:t>
      </w:r>
      <w:r w:rsidR="002B1F1F" w:rsidRPr="007B7DD9">
        <w:rPr>
          <w:rFonts w:eastAsiaTheme="minorEastAsia" w:cstheme="minorHAnsi"/>
          <w:lang w:eastAsia="hr-HR"/>
        </w:rPr>
        <w:t>manje</w:t>
      </w:r>
      <w:r w:rsidRPr="007B7DD9">
        <w:rPr>
          <w:rFonts w:eastAsiaTheme="minorEastAsia" w:cstheme="minorHAnsi"/>
          <w:lang w:eastAsia="hr-HR"/>
        </w:rPr>
        <w:t xml:space="preserve"> u odnosu na isto razdoblje </w:t>
      </w:r>
      <w:r w:rsidR="00C553BD" w:rsidRPr="007B7DD9">
        <w:rPr>
          <w:rFonts w:eastAsiaTheme="minorEastAsia" w:cstheme="minorHAnsi"/>
          <w:lang w:eastAsia="hr-HR"/>
        </w:rPr>
        <w:t>prethodne godine),</w:t>
      </w:r>
    </w:p>
    <w:p w14:paraId="5E3AA45E" w14:textId="30C8A9F1" w:rsidR="002B1F1F" w:rsidRPr="007B7DD9" w:rsidRDefault="00C553BD" w:rsidP="003A4E05">
      <w:pPr>
        <w:pStyle w:val="Odlomakpopisa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eastAsiaTheme="minorEastAsia" w:cstheme="minorHAnsi"/>
          <w:lang w:eastAsia="hr-HR"/>
        </w:rPr>
      </w:pPr>
      <w:r w:rsidRPr="007B7DD9">
        <w:rPr>
          <w:rFonts w:eastAsiaTheme="minorEastAsia" w:cstheme="minorHAnsi"/>
          <w:lang w:eastAsia="hr-HR"/>
        </w:rPr>
        <w:t xml:space="preserve">naknade za korištenje cestovnog zemljišta u iznosu od </w:t>
      </w:r>
      <w:r w:rsidR="002B1F1F" w:rsidRPr="007B7DD9">
        <w:rPr>
          <w:rFonts w:eastAsiaTheme="minorEastAsia" w:cstheme="minorHAnsi"/>
          <w:lang w:eastAsia="hr-HR"/>
        </w:rPr>
        <w:t>334.783,41</w:t>
      </w:r>
      <w:r w:rsidRPr="007B7DD9">
        <w:rPr>
          <w:rFonts w:eastAsiaTheme="minorEastAsia" w:cstheme="minorHAnsi"/>
          <w:lang w:eastAsia="hr-HR"/>
        </w:rPr>
        <w:t xml:space="preserve"> eur</w:t>
      </w:r>
      <w:r w:rsidR="002B1F1F" w:rsidRPr="007B7DD9">
        <w:rPr>
          <w:rFonts w:eastAsiaTheme="minorEastAsia" w:cstheme="minorHAnsi"/>
          <w:lang w:eastAsia="hr-HR"/>
        </w:rPr>
        <w:t>a</w:t>
      </w:r>
      <w:r w:rsidRPr="007B7DD9">
        <w:rPr>
          <w:rFonts w:eastAsiaTheme="minorEastAsia" w:cstheme="minorHAnsi"/>
          <w:lang w:eastAsia="hr-HR"/>
        </w:rPr>
        <w:t xml:space="preserve"> (ostvareno </w:t>
      </w:r>
      <w:r w:rsidR="00F95879">
        <w:rPr>
          <w:rFonts w:eastAsiaTheme="minorEastAsia" w:cstheme="minorHAnsi"/>
          <w:lang w:eastAsia="hr-HR"/>
        </w:rPr>
        <w:t xml:space="preserve">91,72% godišnjeg plana i </w:t>
      </w:r>
      <w:r w:rsidR="002B1F1F" w:rsidRPr="007B7DD9">
        <w:rPr>
          <w:rFonts w:eastAsiaTheme="minorEastAsia" w:cstheme="minorHAnsi"/>
          <w:lang w:eastAsia="hr-HR"/>
        </w:rPr>
        <w:t>681,30</w:t>
      </w:r>
      <w:r w:rsidRPr="007B7DD9">
        <w:rPr>
          <w:rFonts w:eastAsiaTheme="minorEastAsia" w:cstheme="minorHAnsi"/>
          <w:lang w:eastAsia="hr-HR"/>
        </w:rPr>
        <w:t xml:space="preserve">% </w:t>
      </w:r>
      <w:r w:rsidR="002B1F1F" w:rsidRPr="007B7DD9">
        <w:rPr>
          <w:rFonts w:eastAsiaTheme="minorEastAsia" w:cstheme="minorHAnsi"/>
          <w:lang w:eastAsia="hr-HR"/>
        </w:rPr>
        <w:t>više</w:t>
      </w:r>
      <w:r w:rsidRPr="007B7DD9">
        <w:rPr>
          <w:rFonts w:eastAsiaTheme="minorEastAsia" w:cstheme="minorHAnsi"/>
          <w:lang w:eastAsia="hr-HR"/>
        </w:rPr>
        <w:t xml:space="preserve"> u odnosu na isto razdoblje prethodne godine)</w:t>
      </w:r>
      <w:r w:rsidR="002B1F1F" w:rsidRPr="007B7DD9">
        <w:rPr>
          <w:rFonts w:eastAsiaTheme="minorEastAsia" w:cstheme="minorHAnsi"/>
          <w:lang w:eastAsia="hr-HR"/>
        </w:rPr>
        <w:t>,</w:t>
      </w:r>
    </w:p>
    <w:p w14:paraId="4B14835B" w14:textId="3121F25C" w:rsidR="00C553BD" w:rsidRPr="007B7DD9" w:rsidRDefault="002B1F1F" w:rsidP="003A4E05">
      <w:pPr>
        <w:pStyle w:val="Odlomakpopisa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eastAsiaTheme="minorEastAsia" w:cstheme="minorHAnsi"/>
          <w:lang w:eastAsia="hr-HR"/>
        </w:rPr>
      </w:pPr>
      <w:r w:rsidRPr="007B7DD9">
        <w:rPr>
          <w:rFonts w:eastAsiaTheme="minorEastAsia" w:cstheme="minorHAnsi"/>
          <w:lang w:eastAsia="hr-HR"/>
        </w:rPr>
        <w:t xml:space="preserve">naknade za osnivanje prava služnosti u iznosu od 5.608,33 eura (ostvareno </w:t>
      </w:r>
      <w:r w:rsidR="00F95879">
        <w:rPr>
          <w:rFonts w:eastAsiaTheme="minorEastAsia" w:cstheme="minorHAnsi"/>
          <w:lang w:eastAsia="hr-HR"/>
        </w:rPr>
        <w:t xml:space="preserve">70,10% godišnjeg plana i </w:t>
      </w:r>
      <w:r w:rsidRPr="007B7DD9">
        <w:rPr>
          <w:rFonts w:eastAsiaTheme="minorEastAsia" w:cstheme="minorHAnsi"/>
          <w:lang w:eastAsia="hr-HR"/>
        </w:rPr>
        <w:t>175,30% više u odnosu na isto razdoblje prethodne godine)</w:t>
      </w:r>
      <w:r w:rsidR="00C553BD" w:rsidRPr="007B7DD9">
        <w:rPr>
          <w:rFonts w:eastAsiaTheme="minorEastAsia" w:cstheme="minorHAnsi"/>
          <w:lang w:eastAsia="hr-HR"/>
        </w:rPr>
        <w:t>.</w:t>
      </w:r>
    </w:p>
    <w:p w14:paraId="34D8F425" w14:textId="0233DEBC" w:rsidR="00C553BD" w:rsidRPr="007B7DD9" w:rsidRDefault="00C553BD" w:rsidP="00C553BD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7B7DD9">
        <w:rPr>
          <w:rFonts w:eastAsiaTheme="minorEastAsia" w:cstheme="minorHAnsi"/>
          <w:lang w:eastAsia="hr-HR"/>
        </w:rPr>
        <w:t>Prihodi od naknada za korištenje cestovnog zemljišta ostvareni su na temelju zaključenih ugovora o korištenju cestovnog zemljišta i obavljanju pratećih djelatnosti, ugovora o postavljanju reklamnih ploča na</w:t>
      </w:r>
      <w:r w:rsidR="001A6698" w:rsidRPr="007B7DD9">
        <w:rPr>
          <w:rFonts w:eastAsiaTheme="minorEastAsia" w:cstheme="minorHAnsi"/>
          <w:lang w:eastAsia="hr-HR"/>
        </w:rPr>
        <w:t xml:space="preserve"> županijskim i lokalnim cestama</w:t>
      </w:r>
      <w:r w:rsidRPr="007B7DD9">
        <w:rPr>
          <w:rFonts w:eastAsiaTheme="minorEastAsia" w:cstheme="minorHAnsi"/>
          <w:lang w:eastAsia="hr-HR"/>
        </w:rPr>
        <w:t>.</w:t>
      </w:r>
      <w:r w:rsidRPr="007B7DD9">
        <w:rPr>
          <w:rFonts w:eastAsia="Times New Roman" w:cstheme="minorHAnsi"/>
        </w:rPr>
        <w:t xml:space="preserve"> N</w:t>
      </w:r>
      <w:r w:rsidRPr="007B7DD9">
        <w:rPr>
          <w:rFonts w:eastAsiaTheme="minorEastAsia" w:cstheme="minorHAnsi"/>
          <w:lang w:eastAsia="hr-HR"/>
        </w:rPr>
        <w:t xml:space="preserve">avedeni prihodi </w:t>
      </w:r>
      <w:r w:rsidRPr="007B7DD9">
        <w:rPr>
          <w:rFonts w:eastAsia="Times New Roman" w:cstheme="minorHAnsi"/>
        </w:rPr>
        <w:t xml:space="preserve">bilježe </w:t>
      </w:r>
      <w:r w:rsidR="001A6698" w:rsidRPr="007B7DD9">
        <w:rPr>
          <w:rFonts w:eastAsia="Times New Roman" w:cstheme="minorHAnsi"/>
        </w:rPr>
        <w:t xml:space="preserve">povećanje </w:t>
      </w:r>
      <w:r w:rsidRPr="007B7DD9">
        <w:rPr>
          <w:rFonts w:eastAsia="Times New Roman" w:cstheme="minorHAnsi"/>
        </w:rPr>
        <w:t xml:space="preserve">od </w:t>
      </w:r>
      <w:r w:rsidR="001A6698" w:rsidRPr="007B7DD9">
        <w:rPr>
          <w:rFonts w:eastAsia="Times New Roman" w:cstheme="minorHAnsi"/>
        </w:rPr>
        <w:t>681,30</w:t>
      </w:r>
      <w:r w:rsidRPr="007B7DD9">
        <w:rPr>
          <w:rFonts w:eastAsia="Times New Roman" w:cstheme="minorHAnsi"/>
        </w:rPr>
        <w:t xml:space="preserve">% </w:t>
      </w:r>
      <w:r w:rsidRPr="007B7DD9">
        <w:rPr>
          <w:rFonts w:eastAsiaTheme="minorEastAsia" w:cstheme="minorHAnsi"/>
          <w:lang w:eastAsia="hr-HR"/>
        </w:rPr>
        <w:t xml:space="preserve">budući </w:t>
      </w:r>
      <w:r w:rsidR="001A6698" w:rsidRPr="007B7DD9">
        <w:rPr>
          <w:rFonts w:eastAsiaTheme="minorEastAsia" w:cstheme="minorHAnsi"/>
          <w:lang w:eastAsia="hr-HR"/>
        </w:rPr>
        <w:t>je u prvom polugodištu 2025. godine</w:t>
      </w:r>
      <w:r w:rsidR="00247DC5" w:rsidRPr="007B7DD9">
        <w:rPr>
          <w:rFonts w:eastAsiaTheme="minorEastAsia" w:cstheme="minorHAnsi"/>
          <w:lang w:eastAsia="hr-HR"/>
        </w:rPr>
        <w:t xml:space="preserve"> ostvaren </w:t>
      </w:r>
      <w:r w:rsidRPr="007B7DD9">
        <w:rPr>
          <w:rFonts w:eastAsiaTheme="minorEastAsia" w:cstheme="minorHAnsi"/>
          <w:lang w:eastAsia="hr-HR"/>
        </w:rPr>
        <w:t xml:space="preserve">prihod </w:t>
      </w:r>
      <w:r w:rsidR="00247DC5" w:rsidRPr="007B7DD9">
        <w:rPr>
          <w:rFonts w:eastAsiaTheme="minorEastAsia" w:cstheme="minorHAnsi"/>
          <w:lang w:eastAsia="hr-HR"/>
        </w:rPr>
        <w:t xml:space="preserve">od </w:t>
      </w:r>
      <w:proofErr w:type="spellStart"/>
      <w:r w:rsidRPr="007B7DD9">
        <w:rPr>
          <w:rFonts w:eastAsiaTheme="minorEastAsia" w:cstheme="minorHAnsi"/>
          <w:lang w:eastAsia="hr-HR"/>
        </w:rPr>
        <w:t>ovršenika</w:t>
      </w:r>
      <w:proofErr w:type="spellEnd"/>
      <w:r w:rsidRPr="007B7DD9">
        <w:rPr>
          <w:rFonts w:eastAsiaTheme="minorEastAsia" w:cstheme="minorHAnsi"/>
          <w:lang w:eastAsia="hr-HR"/>
        </w:rPr>
        <w:t xml:space="preserve"> Hrvatski telekom d.d. Zagreb. </w:t>
      </w:r>
      <w:r w:rsidR="007B7DD9" w:rsidRPr="007B7DD9">
        <w:rPr>
          <w:rFonts w:eastAsiaTheme="minorEastAsia" w:cstheme="minorHAnsi"/>
          <w:lang w:eastAsia="hr-HR"/>
        </w:rPr>
        <w:t xml:space="preserve">u iznosu 276.801,93 </w:t>
      </w:r>
      <w:r w:rsidR="007B7DD9" w:rsidRPr="00D373C8">
        <w:rPr>
          <w:rFonts w:eastAsiaTheme="minorEastAsia" w:cstheme="minorHAnsi"/>
          <w:lang w:eastAsia="hr-HR"/>
        </w:rPr>
        <w:t>eura</w:t>
      </w:r>
      <w:r w:rsidR="00247DC5" w:rsidRPr="00D373C8">
        <w:rPr>
          <w:rFonts w:eastAsiaTheme="minorEastAsia" w:cstheme="minorHAnsi"/>
          <w:lang w:eastAsia="hr-HR"/>
        </w:rPr>
        <w:t xml:space="preserve"> (vidi str.1</w:t>
      </w:r>
      <w:r w:rsidR="00D373C8" w:rsidRPr="00D373C8">
        <w:rPr>
          <w:rFonts w:eastAsiaTheme="minorEastAsia" w:cstheme="minorHAnsi"/>
          <w:lang w:eastAsia="hr-HR"/>
        </w:rPr>
        <w:t>5</w:t>
      </w:r>
      <w:r w:rsidR="00247DC5" w:rsidRPr="00D373C8">
        <w:rPr>
          <w:rFonts w:eastAsiaTheme="minorEastAsia" w:cstheme="minorHAnsi"/>
          <w:lang w:eastAsia="hr-HR"/>
        </w:rPr>
        <w:t>.).</w:t>
      </w:r>
    </w:p>
    <w:p w14:paraId="75A22CB2" w14:textId="2D913185" w:rsidR="007B7DD9" w:rsidRPr="007B7DD9" w:rsidRDefault="007B7DD9" w:rsidP="00A34CAD">
      <w:pPr>
        <w:spacing w:line="259" w:lineRule="auto"/>
        <w:jc w:val="both"/>
        <w:rPr>
          <w:rFonts w:eastAsiaTheme="minorEastAsia" w:cstheme="minorHAnsi"/>
          <w:lang w:eastAsia="hr-HR"/>
        </w:rPr>
      </w:pPr>
      <w:r w:rsidRPr="007B7DD9">
        <w:rPr>
          <w:rFonts w:eastAsiaTheme="minorEastAsia" w:cstheme="minorHAnsi"/>
          <w:lang w:eastAsia="hr-HR"/>
        </w:rPr>
        <w:t>Prihodi od naknada za osnivanje prava služnosti ostvareni su na temelju zaključenih ugovora za osnivanje prava služnosti i građenja na cestovnom zemljištu. Navedeni prihodi bilježe povećanje od 175,30% budući je u prvom polugodištu 2025. godine više izdanih računa temeljem zaključenih Ugovora za osnivanje prava služnosti i građenja na cestovnom zemljištu.</w:t>
      </w:r>
    </w:p>
    <w:p w14:paraId="589D631B" w14:textId="12F13381" w:rsidR="00C553BD" w:rsidRPr="007B7DD9" w:rsidRDefault="00C553BD" w:rsidP="00A34CAD">
      <w:pPr>
        <w:spacing w:line="259" w:lineRule="auto"/>
        <w:jc w:val="both"/>
        <w:rPr>
          <w:rFonts w:eastAsiaTheme="minorEastAsia" w:cstheme="minorHAnsi"/>
          <w:lang w:eastAsia="hr-HR"/>
        </w:rPr>
      </w:pPr>
      <w:r w:rsidRPr="007B7DD9">
        <w:rPr>
          <w:rFonts w:eastAsiaTheme="minorEastAsia" w:cstheme="minorHAnsi"/>
          <w:lang w:eastAsia="hr-HR"/>
        </w:rPr>
        <w:t>Povećanje ostvarenih prihoda od godišnje naknade za uporabu javnih cesta u razdoblju od 01. siječnja do 30. lipnja 202</w:t>
      </w:r>
      <w:r w:rsidR="002B1F1F" w:rsidRPr="007B7DD9">
        <w:rPr>
          <w:rFonts w:eastAsiaTheme="minorEastAsia" w:cstheme="minorHAnsi"/>
          <w:lang w:eastAsia="hr-HR"/>
        </w:rPr>
        <w:t>5</w:t>
      </w:r>
      <w:r w:rsidRPr="007B7DD9">
        <w:rPr>
          <w:rFonts w:eastAsiaTheme="minorEastAsia" w:cstheme="minorHAnsi"/>
          <w:lang w:eastAsia="hr-HR"/>
        </w:rPr>
        <w:t>. godine u usporedbi s istim razdobljem prethodne godine rezultat je povećanja broja registriranih vozila čiji vlasnici imaju prebivalište ili sjedište na području Primorsko-goranske županije. U razdoblju od 01. siječnja do 30. lipnja 202</w:t>
      </w:r>
      <w:r w:rsidR="002B1F1F" w:rsidRPr="007B7DD9">
        <w:rPr>
          <w:rFonts w:eastAsiaTheme="minorEastAsia" w:cstheme="minorHAnsi"/>
          <w:lang w:eastAsia="hr-HR"/>
        </w:rPr>
        <w:t>5</w:t>
      </w:r>
      <w:r w:rsidRPr="007B7DD9">
        <w:rPr>
          <w:rFonts w:eastAsiaTheme="minorEastAsia" w:cstheme="minorHAnsi"/>
          <w:lang w:eastAsia="hr-HR"/>
        </w:rPr>
        <w:t xml:space="preserve">. godine registrirano je </w:t>
      </w:r>
      <w:r w:rsidR="002B1F1F" w:rsidRPr="007B7DD9">
        <w:rPr>
          <w:rFonts w:eastAsiaTheme="minorEastAsia" w:cstheme="minorHAnsi"/>
          <w:lang w:eastAsia="hr-HR"/>
        </w:rPr>
        <w:t>97 605</w:t>
      </w:r>
      <w:r w:rsidRPr="007B7DD9">
        <w:rPr>
          <w:rFonts w:eastAsiaTheme="minorEastAsia" w:cstheme="minorHAnsi"/>
          <w:lang w:eastAsia="hr-HR"/>
        </w:rPr>
        <w:t xml:space="preserve"> vozila što je 4</w:t>
      </w:r>
      <w:r w:rsidR="00133574" w:rsidRPr="007B7DD9">
        <w:rPr>
          <w:rFonts w:eastAsiaTheme="minorEastAsia" w:cstheme="minorHAnsi"/>
          <w:lang w:eastAsia="hr-HR"/>
        </w:rPr>
        <w:t>,21</w:t>
      </w:r>
      <w:r w:rsidRPr="007B7DD9">
        <w:rPr>
          <w:rFonts w:eastAsiaTheme="minorEastAsia" w:cstheme="minorHAnsi"/>
          <w:lang w:eastAsia="hr-HR"/>
        </w:rPr>
        <w:t>% više u usporedbi s prethodnom godinom</w:t>
      </w:r>
      <w:r w:rsidR="00AE4D50" w:rsidRPr="007B7DD9">
        <w:rPr>
          <w:rFonts w:eastAsiaTheme="minorEastAsia" w:cstheme="minorHAnsi"/>
          <w:lang w:eastAsia="hr-HR"/>
        </w:rPr>
        <w:t>.</w:t>
      </w:r>
    </w:p>
    <w:p w14:paraId="662592E3" w14:textId="021D05E3" w:rsidR="007A33C7" w:rsidRPr="007B7DD9" w:rsidRDefault="00697EC0" w:rsidP="00697EC0">
      <w:pPr>
        <w:spacing w:before="120" w:after="120" w:line="240" w:lineRule="auto"/>
        <w:jc w:val="both"/>
        <w:rPr>
          <w:rFonts w:cstheme="minorHAnsi"/>
        </w:rPr>
      </w:pPr>
      <w:r w:rsidRPr="007B7DD9">
        <w:rPr>
          <w:rFonts w:cstheme="minorHAnsi"/>
        </w:rPr>
        <w:t>Ostvareni prihodi od godišnje naknade za uporabu javnih cesta, naknade za korištenje cestovnog zemljišta</w:t>
      </w:r>
      <w:r w:rsidR="007B7DD9" w:rsidRPr="007B7DD9">
        <w:rPr>
          <w:rFonts w:cstheme="minorHAnsi"/>
        </w:rPr>
        <w:t>, naknada za osnivanje prava služnosti</w:t>
      </w:r>
      <w:r w:rsidRPr="007B7DD9">
        <w:rPr>
          <w:rFonts w:cstheme="minorHAnsi"/>
        </w:rPr>
        <w:t xml:space="preserve"> i naknade za izva</w:t>
      </w:r>
      <w:r w:rsidR="00A60A08" w:rsidRPr="007B7DD9">
        <w:rPr>
          <w:rFonts w:cstheme="minorHAnsi"/>
        </w:rPr>
        <w:t>nredni prijevoz prikazani su u T</w:t>
      </w:r>
      <w:r w:rsidRPr="007B7DD9">
        <w:rPr>
          <w:rFonts w:cstheme="minorHAnsi"/>
        </w:rPr>
        <w:t xml:space="preserve">ablici </w:t>
      </w:r>
      <w:r w:rsidR="00A60A08" w:rsidRPr="007B7DD9">
        <w:rPr>
          <w:rFonts w:cstheme="minorHAnsi"/>
        </w:rPr>
        <w:t>4</w:t>
      </w:r>
      <w:r w:rsidRPr="007B7DD9">
        <w:rPr>
          <w:rFonts w:cstheme="minorHAnsi"/>
        </w:rPr>
        <w:t>. u nastavku:</w:t>
      </w:r>
    </w:p>
    <w:p w14:paraId="3506AFFA" w14:textId="410B36A6" w:rsidR="00B40FD8" w:rsidRDefault="00DD10AE" w:rsidP="00B40FD8">
      <w:pPr>
        <w:pStyle w:val="Opisslike"/>
        <w:keepNext/>
        <w:spacing w:after="120"/>
        <w:ind w:left="1077" w:hanging="1077"/>
        <w:jc w:val="both"/>
        <w:rPr>
          <w:rFonts w:cstheme="minorHAnsi"/>
          <w:i w:val="0"/>
          <w:color w:val="222A35" w:themeColor="text2" w:themeShade="80"/>
          <w:sz w:val="22"/>
          <w:szCs w:val="22"/>
        </w:rPr>
      </w:pPr>
      <w:bookmarkStart w:id="28" w:name="_Toc109651258"/>
      <w:bookmarkStart w:id="29" w:name="_Toc204162096"/>
      <w:r w:rsidRPr="007B7DD9">
        <w:rPr>
          <w:i w:val="0"/>
          <w:color w:val="auto"/>
          <w:sz w:val="22"/>
        </w:rPr>
        <w:t xml:space="preserve">Tablica </w:t>
      </w:r>
      <w:r w:rsidR="003C0277" w:rsidRPr="007B7DD9">
        <w:rPr>
          <w:i w:val="0"/>
          <w:color w:val="auto"/>
          <w:sz w:val="22"/>
        </w:rPr>
        <w:fldChar w:fldCharType="begin"/>
      </w:r>
      <w:r w:rsidR="003C0277" w:rsidRPr="007B7DD9">
        <w:rPr>
          <w:i w:val="0"/>
          <w:color w:val="auto"/>
          <w:sz w:val="22"/>
        </w:rPr>
        <w:instrText xml:space="preserve"> SEQ Tablica \* ARABIC </w:instrText>
      </w:r>
      <w:r w:rsidR="003C0277" w:rsidRPr="007B7DD9">
        <w:rPr>
          <w:i w:val="0"/>
          <w:color w:val="auto"/>
          <w:sz w:val="22"/>
        </w:rPr>
        <w:fldChar w:fldCharType="separate"/>
      </w:r>
      <w:r w:rsidR="00E0332D">
        <w:rPr>
          <w:i w:val="0"/>
          <w:noProof/>
          <w:color w:val="auto"/>
          <w:sz w:val="22"/>
        </w:rPr>
        <w:t>4</w:t>
      </w:r>
      <w:r w:rsidR="003C0277" w:rsidRPr="007B7DD9">
        <w:rPr>
          <w:i w:val="0"/>
          <w:color w:val="auto"/>
          <w:sz w:val="22"/>
        </w:rPr>
        <w:fldChar w:fldCharType="end"/>
      </w:r>
      <w:r w:rsidR="00CB138C" w:rsidRPr="007B7DD9">
        <w:rPr>
          <w:i w:val="0"/>
          <w:color w:val="auto"/>
          <w:sz w:val="22"/>
        </w:rPr>
        <w:t>.</w:t>
      </w:r>
      <w:r w:rsidR="00A8104D" w:rsidRPr="007B7DD9">
        <w:rPr>
          <w:i w:val="0"/>
          <w:color w:val="auto"/>
          <w:sz w:val="22"/>
        </w:rPr>
        <w:t xml:space="preserve"> </w:t>
      </w:r>
      <w:r w:rsidRPr="007B7DD9">
        <w:rPr>
          <w:i w:val="0"/>
          <w:color w:val="auto"/>
          <w:sz w:val="22"/>
          <w:szCs w:val="22"/>
        </w:rPr>
        <w:t>Ostvaren</w:t>
      </w:r>
      <w:r w:rsidR="00F35DB1" w:rsidRPr="007B7DD9">
        <w:rPr>
          <w:i w:val="0"/>
          <w:color w:val="auto"/>
          <w:sz w:val="22"/>
          <w:szCs w:val="22"/>
        </w:rPr>
        <w:t>i prihodi od naknade za ceste</w:t>
      </w:r>
      <w:r w:rsidRPr="007B7DD9">
        <w:rPr>
          <w:i w:val="0"/>
          <w:color w:val="auto"/>
          <w:sz w:val="22"/>
          <w:szCs w:val="22"/>
        </w:rPr>
        <w:t xml:space="preserve"> u </w:t>
      </w:r>
      <w:r w:rsidR="00C553BD" w:rsidRPr="007B7DD9">
        <w:rPr>
          <w:i w:val="0"/>
          <w:color w:val="auto"/>
          <w:sz w:val="22"/>
          <w:szCs w:val="22"/>
        </w:rPr>
        <w:t xml:space="preserve">prvom polugodištu </w:t>
      </w:r>
      <w:r w:rsidR="0031719F" w:rsidRPr="007B7DD9">
        <w:rPr>
          <w:i w:val="0"/>
          <w:color w:val="auto"/>
          <w:sz w:val="22"/>
          <w:szCs w:val="22"/>
        </w:rPr>
        <w:t>202</w:t>
      </w:r>
      <w:r w:rsidR="00D730FA" w:rsidRPr="007B7DD9">
        <w:rPr>
          <w:i w:val="0"/>
          <w:color w:val="auto"/>
          <w:sz w:val="22"/>
          <w:szCs w:val="22"/>
        </w:rPr>
        <w:t>5</w:t>
      </w:r>
      <w:r w:rsidR="0031719F" w:rsidRPr="007B7DD9">
        <w:rPr>
          <w:i w:val="0"/>
          <w:color w:val="auto"/>
          <w:sz w:val="22"/>
          <w:szCs w:val="22"/>
        </w:rPr>
        <w:t>. godin</w:t>
      </w:r>
      <w:r w:rsidR="00C553BD" w:rsidRPr="007B7DD9">
        <w:rPr>
          <w:i w:val="0"/>
          <w:color w:val="auto"/>
          <w:sz w:val="22"/>
          <w:szCs w:val="22"/>
        </w:rPr>
        <w:t>e</w:t>
      </w:r>
      <w:r w:rsidRPr="007B7DD9">
        <w:rPr>
          <w:i w:val="0"/>
          <w:color w:val="auto"/>
          <w:sz w:val="22"/>
          <w:szCs w:val="22"/>
        </w:rPr>
        <w:t xml:space="preserve"> s</w:t>
      </w:r>
      <w:r w:rsidR="0031719F" w:rsidRPr="007B7DD9">
        <w:rPr>
          <w:i w:val="0"/>
          <w:color w:val="auto"/>
          <w:sz w:val="22"/>
          <w:szCs w:val="22"/>
        </w:rPr>
        <w:t xml:space="preserve"> usporednim </w:t>
      </w:r>
      <w:r w:rsidRPr="00247DC5">
        <w:rPr>
          <w:i w:val="0"/>
          <w:color w:val="222A35" w:themeColor="text2" w:themeShade="80"/>
          <w:sz w:val="22"/>
          <w:szCs w:val="22"/>
        </w:rPr>
        <w:t xml:space="preserve">pokazateljima ostvarenja u </w:t>
      </w:r>
      <w:bookmarkEnd w:id="28"/>
      <w:r w:rsidR="00B40FD8" w:rsidRPr="00800303">
        <w:rPr>
          <w:rFonts w:cstheme="minorHAnsi"/>
          <w:i w:val="0"/>
          <w:color w:val="222A35" w:themeColor="text2" w:themeShade="80"/>
          <w:sz w:val="22"/>
          <w:szCs w:val="22"/>
        </w:rPr>
        <w:t>istom r</w:t>
      </w:r>
      <w:r w:rsidR="00D730FA">
        <w:rPr>
          <w:rFonts w:cstheme="minorHAnsi"/>
          <w:i w:val="0"/>
          <w:color w:val="222A35" w:themeColor="text2" w:themeShade="80"/>
          <w:sz w:val="22"/>
          <w:szCs w:val="22"/>
        </w:rPr>
        <w:t>azdoblju 2024</w:t>
      </w:r>
      <w:r w:rsidR="00B40FD8" w:rsidRPr="00800303">
        <w:rPr>
          <w:rFonts w:cstheme="minorHAnsi"/>
          <w:i w:val="0"/>
          <w:color w:val="222A35" w:themeColor="text2" w:themeShade="80"/>
          <w:sz w:val="22"/>
          <w:szCs w:val="22"/>
        </w:rPr>
        <w:t>. godine</w:t>
      </w:r>
      <w:bookmarkEnd w:id="29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92"/>
        <w:gridCol w:w="1287"/>
        <w:gridCol w:w="1389"/>
        <w:gridCol w:w="1287"/>
        <w:gridCol w:w="820"/>
        <w:gridCol w:w="839"/>
      </w:tblGrid>
      <w:tr w:rsidR="00755D8A" w:rsidRPr="008711E8" w14:paraId="0133EA22" w14:textId="77777777" w:rsidTr="00666DF7">
        <w:trPr>
          <w:trHeight w:val="351"/>
          <w:jc w:val="center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42DD7EB6" w14:textId="77777777" w:rsidR="00755D8A" w:rsidRPr="008711E8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3592" w:type="dxa"/>
            <w:shd w:val="clear" w:color="000000" w:fill="FFFFFF"/>
            <w:vAlign w:val="center"/>
            <w:hideMark/>
          </w:tcPr>
          <w:p w14:paraId="4652F3F8" w14:textId="77777777" w:rsidR="00755D8A" w:rsidRPr="008711E8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14:paraId="705C9944" w14:textId="77777777" w:rsidR="00755D8A" w:rsidRDefault="00755D8A" w:rsidP="00755D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Ostvarenje </w:t>
            </w:r>
          </w:p>
          <w:p w14:paraId="7766417D" w14:textId="2B70AF47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I-VI 2024.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14:paraId="28EB54CB" w14:textId="57294405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Izvorni plan 2025.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14:paraId="1D010E16" w14:textId="77777777" w:rsidR="00755D8A" w:rsidRDefault="00755D8A" w:rsidP="00755D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Ostvarenje </w:t>
            </w:r>
          </w:p>
          <w:p w14:paraId="6720B74D" w14:textId="4C862CEC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5D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I-VI 2025.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14:paraId="6D24F0B8" w14:textId="77777777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5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5./3. 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3D33A453" w14:textId="77777777" w:rsidR="00755D8A" w:rsidRPr="00755D8A" w:rsidRDefault="00755D8A" w:rsidP="00755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55D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5./4. </w:t>
            </w:r>
          </w:p>
        </w:tc>
      </w:tr>
      <w:tr w:rsidR="008711E8" w:rsidRPr="008711E8" w14:paraId="18CDF079" w14:textId="77777777" w:rsidTr="00666DF7">
        <w:trPr>
          <w:trHeight w:val="146"/>
          <w:jc w:val="center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3FA9D5FF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92" w:type="dxa"/>
            <w:shd w:val="clear" w:color="000000" w:fill="FFFFFF"/>
            <w:vAlign w:val="center"/>
            <w:hideMark/>
          </w:tcPr>
          <w:p w14:paraId="71836197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14:paraId="5843CDDF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14:paraId="3C3DD322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14:paraId="2AD98124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14:paraId="753C07FC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1B0B3A72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</w:tr>
      <w:tr w:rsidR="008711E8" w:rsidRPr="008711E8" w14:paraId="3F4871DB" w14:textId="77777777" w:rsidTr="00666DF7">
        <w:trPr>
          <w:trHeight w:val="20"/>
          <w:jc w:val="center"/>
        </w:trPr>
        <w:tc>
          <w:tcPr>
            <w:tcW w:w="4296" w:type="dxa"/>
            <w:gridSpan w:val="2"/>
            <w:shd w:val="clear" w:color="000000" w:fill="BDD7EE"/>
            <w:vAlign w:val="center"/>
            <w:hideMark/>
          </w:tcPr>
          <w:p w14:paraId="2F8F0941" w14:textId="77777777" w:rsidR="008711E8" w:rsidRPr="008711E8" w:rsidRDefault="008711E8" w:rsidP="00871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od nefinancijske imovine (račun 642) (1.+2.+3.+4.)</w:t>
            </w:r>
          </w:p>
        </w:tc>
        <w:tc>
          <w:tcPr>
            <w:tcW w:w="1287" w:type="dxa"/>
            <w:shd w:val="clear" w:color="000000" w:fill="BDD7EE"/>
            <w:noWrap/>
            <w:vAlign w:val="center"/>
            <w:hideMark/>
          </w:tcPr>
          <w:p w14:paraId="1D62DE67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6.299.275,15</w:t>
            </w:r>
          </w:p>
        </w:tc>
        <w:tc>
          <w:tcPr>
            <w:tcW w:w="1389" w:type="dxa"/>
            <w:shd w:val="clear" w:color="000000" w:fill="BDD7EE"/>
            <w:noWrap/>
            <w:vAlign w:val="center"/>
            <w:hideMark/>
          </w:tcPr>
          <w:p w14:paraId="74FADC72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13.093.500,00</w:t>
            </w:r>
          </w:p>
        </w:tc>
        <w:tc>
          <w:tcPr>
            <w:tcW w:w="1287" w:type="dxa"/>
            <w:shd w:val="clear" w:color="000000" w:fill="BDD7EE"/>
            <w:noWrap/>
            <w:vAlign w:val="center"/>
            <w:hideMark/>
          </w:tcPr>
          <w:p w14:paraId="56E8091C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6.819.309,40</w:t>
            </w:r>
          </w:p>
        </w:tc>
        <w:tc>
          <w:tcPr>
            <w:tcW w:w="820" w:type="dxa"/>
            <w:shd w:val="clear" w:color="000000" w:fill="BDD7EE"/>
            <w:vAlign w:val="center"/>
            <w:hideMark/>
          </w:tcPr>
          <w:p w14:paraId="1EB24F37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108,26</w:t>
            </w:r>
          </w:p>
        </w:tc>
        <w:tc>
          <w:tcPr>
            <w:tcW w:w="839" w:type="dxa"/>
            <w:shd w:val="clear" w:color="000000" w:fill="BDD7EE"/>
            <w:noWrap/>
            <w:vAlign w:val="center"/>
            <w:hideMark/>
          </w:tcPr>
          <w:p w14:paraId="3995B4DE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52,08</w:t>
            </w:r>
          </w:p>
        </w:tc>
      </w:tr>
      <w:tr w:rsidR="008711E8" w:rsidRPr="008711E8" w14:paraId="48A40612" w14:textId="77777777" w:rsidTr="00666DF7">
        <w:trPr>
          <w:trHeight w:val="20"/>
          <w:jc w:val="center"/>
        </w:trPr>
        <w:tc>
          <w:tcPr>
            <w:tcW w:w="704" w:type="dxa"/>
            <w:shd w:val="clear" w:color="000000" w:fill="DDEBF7"/>
            <w:vAlign w:val="center"/>
            <w:hideMark/>
          </w:tcPr>
          <w:p w14:paraId="5944A3CB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92" w:type="dxa"/>
            <w:shd w:val="clear" w:color="000000" w:fill="DDEBF7"/>
            <w:vAlign w:val="center"/>
            <w:hideMark/>
          </w:tcPr>
          <w:p w14:paraId="394C764B" w14:textId="77777777" w:rsidR="008711E8" w:rsidRPr="008711E8" w:rsidRDefault="008711E8" w:rsidP="00871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Ostvareni prihodi od godišnje naknade za uporabu javnih cesta</w:t>
            </w:r>
          </w:p>
        </w:tc>
        <w:tc>
          <w:tcPr>
            <w:tcW w:w="1287" w:type="dxa"/>
            <w:shd w:val="clear" w:color="000000" w:fill="DDEBF7"/>
            <w:noWrap/>
            <w:vAlign w:val="center"/>
            <w:hideMark/>
          </w:tcPr>
          <w:p w14:paraId="4562E307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6.251.019,40</w:t>
            </w:r>
          </w:p>
        </w:tc>
        <w:tc>
          <w:tcPr>
            <w:tcW w:w="1389" w:type="dxa"/>
            <w:shd w:val="clear" w:color="000000" w:fill="DDEBF7"/>
            <w:vAlign w:val="center"/>
            <w:hideMark/>
          </w:tcPr>
          <w:p w14:paraId="7DAC5DD4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12.716.000,00</w:t>
            </w:r>
          </w:p>
        </w:tc>
        <w:tc>
          <w:tcPr>
            <w:tcW w:w="1287" w:type="dxa"/>
            <w:shd w:val="clear" w:color="000000" w:fill="DDEBF7"/>
            <w:noWrap/>
            <w:vAlign w:val="center"/>
            <w:hideMark/>
          </w:tcPr>
          <w:p w14:paraId="5898897F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6.476.439,25</w:t>
            </w:r>
          </w:p>
        </w:tc>
        <w:tc>
          <w:tcPr>
            <w:tcW w:w="820" w:type="dxa"/>
            <w:shd w:val="clear" w:color="000000" w:fill="DDEBF7"/>
            <w:vAlign w:val="center"/>
            <w:hideMark/>
          </w:tcPr>
          <w:p w14:paraId="6EDFB429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103,61</w:t>
            </w:r>
          </w:p>
        </w:tc>
        <w:tc>
          <w:tcPr>
            <w:tcW w:w="839" w:type="dxa"/>
            <w:shd w:val="clear" w:color="000000" w:fill="DDEBF7"/>
            <w:vAlign w:val="center"/>
            <w:hideMark/>
          </w:tcPr>
          <w:p w14:paraId="170F7FBC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50,93</w:t>
            </w:r>
          </w:p>
        </w:tc>
      </w:tr>
      <w:tr w:rsidR="008711E8" w:rsidRPr="008711E8" w14:paraId="2055120E" w14:textId="77777777" w:rsidTr="00666DF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789B1E9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14:paraId="587B1B86" w14:textId="77777777" w:rsidR="008711E8" w:rsidRPr="008711E8" w:rsidRDefault="008711E8" w:rsidP="00871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Ostvarena godišnja naknada za uporabu javnih cesta – doznake stanica za tehnički pregled vozila i izravne uplate 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BC265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6.213.909,77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ABD4095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636E32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6.424.534,38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6873460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103,39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BF13A43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711E8" w:rsidRPr="008711E8" w14:paraId="5E0886E1" w14:textId="77777777" w:rsidTr="00666DF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AA26458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14:paraId="42F08C30" w14:textId="77777777" w:rsidR="008711E8" w:rsidRPr="008711E8" w:rsidRDefault="008711E8" w:rsidP="00871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Izvršeni povrati godišnje naknade za uporabu javnih cesta – odjave vozila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EEFF8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-14.386,43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0688D178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D889F0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-7.918,25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3308F83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55,04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8FE4777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711E8" w:rsidRPr="008711E8" w14:paraId="147EB7A1" w14:textId="77777777" w:rsidTr="00666DF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2B601A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14:paraId="03126A50" w14:textId="77777777" w:rsidR="008711E8" w:rsidRPr="008711E8" w:rsidRDefault="008711E8" w:rsidP="00871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Ostvarena godišnja naknada za uporabu javnih cesta – MMPI</w:t>
            </w: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hr-HR"/>
              </w:rPr>
              <w:t>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85409F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51.496,06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370D117F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64F7C0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59.823,12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B814695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116,17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97DA70E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711E8" w:rsidRPr="008711E8" w14:paraId="65C8F321" w14:textId="77777777" w:rsidTr="00666DF7">
        <w:trPr>
          <w:trHeight w:val="20"/>
          <w:jc w:val="center"/>
        </w:trPr>
        <w:tc>
          <w:tcPr>
            <w:tcW w:w="704" w:type="dxa"/>
            <w:shd w:val="clear" w:color="000000" w:fill="DDEBF7"/>
            <w:vAlign w:val="center"/>
            <w:hideMark/>
          </w:tcPr>
          <w:p w14:paraId="5C575269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92" w:type="dxa"/>
            <w:shd w:val="clear" w:color="000000" w:fill="DDEBF7"/>
            <w:vAlign w:val="center"/>
            <w:hideMark/>
          </w:tcPr>
          <w:p w14:paraId="1D016575" w14:textId="77777777" w:rsidR="008711E8" w:rsidRPr="008711E8" w:rsidRDefault="008711E8" w:rsidP="00871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Naknada za korištenje cestovnog zemljišta</w:t>
            </w:r>
          </w:p>
        </w:tc>
        <w:tc>
          <w:tcPr>
            <w:tcW w:w="1287" w:type="dxa"/>
            <w:shd w:val="clear" w:color="000000" w:fill="DDEBF7"/>
            <w:noWrap/>
            <w:vAlign w:val="center"/>
            <w:hideMark/>
          </w:tcPr>
          <w:p w14:paraId="599DEEC7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42.849,44</w:t>
            </w:r>
          </w:p>
        </w:tc>
        <w:tc>
          <w:tcPr>
            <w:tcW w:w="1389" w:type="dxa"/>
            <w:shd w:val="clear" w:color="000000" w:fill="DDEBF7"/>
            <w:vAlign w:val="center"/>
            <w:hideMark/>
          </w:tcPr>
          <w:p w14:paraId="1ADE27C1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287" w:type="dxa"/>
            <w:shd w:val="clear" w:color="000000" w:fill="DDEBF7"/>
            <w:noWrap/>
            <w:vAlign w:val="center"/>
            <w:hideMark/>
          </w:tcPr>
          <w:p w14:paraId="57A7DA53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334.783,41</w:t>
            </w:r>
          </w:p>
        </w:tc>
        <w:tc>
          <w:tcPr>
            <w:tcW w:w="820" w:type="dxa"/>
            <w:shd w:val="clear" w:color="000000" w:fill="DDEBF7"/>
            <w:vAlign w:val="center"/>
            <w:hideMark/>
          </w:tcPr>
          <w:p w14:paraId="5D6F795E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781,30</w:t>
            </w:r>
          </w:p>
        </w:tc>
        <w:tc>
          <w:tcPr>
            <w:tcW w:w="839" w:type="dxa"/>
            <w:shd w:val="clear" w:color="000000" w:fill="DDEBF7"/>
            <w:vAlign w:val="center"/>
            <w:hideMark/>
          </w:tcPr>
          <w:p w14:paraId="188FF579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91,72</w:t>
            </w:r>
          </w:p>
        </w:tc>
      </w:tr>
      <w:tr w:rsidR="008711E8" w:rsidRPr="008711E8" w14:paraId="56DA14CD" w14:textId="77777777" w:rsidTr="00666DF7">
        <w:trPr>
          <w:trHeight w:val="20"/>
          <w:jc w:val="center"/>
        </w:trPr>
        <w:tc>
          <w:tcPr>
            <w:tcW w:w="704" w:type="dxa"/>
            <w:shd w:val="clear" w:color="000000" w:fill="DDEBF7"/>
            <w:vAlign w:val="center"/>
            <w:hideMark/>
          </w:tcPr>
          <w:p w14:paraId="69242076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92" w:type="dxa"/>
            <w:shd w:val="clear" w:color="000000" w:fill="DDEBF7"/>
            <w:vAlign w:val="center"/>
            <w:hideMark/>
          </w:tcPr>
          <w:p w14:paraId="29FE4927" w14:textId="77777777" w:rsidR="008711E8" w:rsidRPr="008711E8" w:rsidRDefault="008711E8" w:rsidP="00871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Naknada za izvanredni prijevoz </w:t>
            </w:r>
          </w:p>
        </w:tc>
        <w:tc>
          <w:tcPr>
            <w:tcW w:w="1287" w:type="dxa"/>
            <w:shd w:val="clear" w:color="000000" w:fill="DDEBF7"/>
            <w:noWrap/>
            <w:vAlign w:val="center"/>
            <w:hideMark/>
          </w:tcPr>
          <w:p w14:paraId="1B49216E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3.369,17</w:t>
            </w:r>
          </w:p>
        </w:tc>
        <w:tc>
          <w:tcPr>
            <w:tcW w:w="1389" w:type="dxa"/>
            <w:shd w:val="clear" w:color="000000" w:fill="DDEBF7"/>
            <w:vAlign w:val="center"/>
            <w:hideMark/>
          </w:tcPr>
          <w:p w14:paraId="5F943EA5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87" w:type="dxa"/>
            <w:shd w:val="clear" w:color="000000" w:fill="DDEBF7"/>
            <w:noWrap/>
            <w:vAlign w:val="center"/>
            <w:hideMark/>
          </w:tcPr>
          <w:p w14:paraId="553416EF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2.478,41</w:t>
            </w:r>
          </w:p>
        </w:tc>
        <w:tc>
          <w:tcPr>
            <w:tcW w:w="820" w:type="dxa"/>
            <w:shd w:val="clear" w:color="000000" w:fill="DDEBF7"/>
            <w:vAlign w:val="center"/>
            <w:hideMark/>
          </w:tcPr>
          <w:p w14:paraId="4A60A43E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73,56</w:t>
            </w:r>
          </w:p>
        </w:tc>
        <w:tc>
          <w:tcPr>
            <w:tcW w:w="839" w:type="dxa"/>
            <w:shd w:val="clear" w:color="000000" w:fill="DDEBF7"/>
            <w:vAlign w:val="center"/>
            <w:hideMark/>
          </w:tcPr>
          <w:p w14:paraId="7889BB0F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55,08</w:t>
            </w:r>
          </w:p>
        </w:tc>
      </w:tr>
      <w:tr w:rsidR="008711E8" w:rsidRPr="008711E8" w14:paraId="569BAD1F" w14:textId="77777777" w:rsidTr="00666DF7">
        <w:trPr>
          <w:trHeight w:val="20"/>
          <w:jc w:val="center"/>
        </w:trPr>
        <w:tc>
          <w:tcPr>
            <w:tcW w:w="704" w:type="dxa"/>
            <w:shd w:val="clear" w:color="000000" w:fill="DDEBF7"/>
            <w:vAlign w:val="center"/>
            <w:hideMark/>
          </w:tcPr>
          <w:p w14:paraId="075CDB1C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92" w:type="dxa"/>
            <w:shd w:val="clear" w:color="000000" w:fill="DDEBF7"/>
            <w:vAlign w:val="center"/>
            <w:hideMark/>
          </w:tcPr>
          <w:p w14:paraId="104E8476" w14:textId="77777777" w:rsidR="008711E8" w:rsidRPr="008711E8" w:rsidRDefault="008711E8" w:rsidP="00871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Naknada za korištenje cestovnog zemljišta - pravo služnosti</w:t>
            </w:r>
          </w:p>
        </w:tc>
        <w:tc>
          <w:tcPr>
            <w:tcW w:w="1287" w:type="dxa"/>
            <w:shd w:val="clear" w:color="000000" w:fill="DDEBF7"/>
            <w:noWrap/>
            <w:vAlign w:val="center"/>
            <w:hideMark/>
          </w:tcPr>
          <w:p w14:paraId="2F3C5AB1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2.037,14</w:t>
            </w:r>
          </w:p>
        </w:tc>
        <w:tc>
          <w:tcPr>
            <w:tcW w:w="1389" w:type="dxa"/>
            <w:shd w:val="clear" w:color="000000" w:fill="DDEBF7"/>
            <w:vAlign w:val="center"/>
            <w:hideMark/>
          </w:tcPr>
          <w:p w14:paraId="396FF824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87" w:type="dxa"/>
            <w:shd w:val="clear" w:color="000000" w:fill="DDEBF7"/>
            <w:noWrap/>
            <w:vAlign w:val="center"/>
            <w:hideMark/>
          </w:tcPr>
          <w:p w14:paraId="178F4DA1" w14:textId="77777777" w:rsidR="008711E8" w:rsidRPr="008711E8" w:rsidRDefault="008711E8" w:rsidP="008711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5.608,33</w:t>
            </w:r>
          </w:p>
        </w:tc>
        <w:tc>
          <w:tcPr>
            <w:tcW w:w="820" w:type="dxa"/>
            <w:shd w:val="clear" w:color="000000" w:fill="DDEBF7"/>
            <w:vAlign w:val="center"/>
            <w:hideMark/>
          </w:tcPr>
          <w:p w14:paraId="6FA1D714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275,30</w:t>
            </w:r>
          </w:p>
        </w:tc>
        <w:tc>
          <w:tcPr>
            <w:tcW w:w="839" w:type="dxa"/>
            <w:shd w:val="clear" w:color="000000" w:fill="DDEBF7"/>
            <w:vAlign w:val="center"/>
            <w:hideMark/>
          </w:tcPr>
          <w:p w14:paraId="2EC4FFF2" w14:textId="77777777" w:rsidR="008711E8" w:rsidRPr="008711E8" w:rsidRDefault="008711E8" w:rsidP="00871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1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70,10</w:t>
            </w:r>
          </w:p>
        </w:tc>
      </w:tr>
    </w:tbl>
    <w:p w14:paraId="50EA9DF9" w14:textId="0CE07575" w:rsidR="000B3A72" w:rsidRPr="004B6DAF" w:rsidRDefault="000B3A72" w:rsidP="00382B87">
      <w:pPr>
        <w:spacing w:after="120" w:line="240" w:lineRule="auto"/>
        <w:rPr>
          <w:rFonts w:cstheme="minorHAnsi"/>
          <w:sz w:val="18"/>
          <w:szCs w:val="18"/>
        </w:rPr>
      </w:pPr>
      <w:r w:rsidRPr="00CD5B87">
        <w:rPr>
          <w:rFonts w:cstheme="minorHAnsi"/>
          <w:vertAlign w:val="superscript"/>
        </w:rPr>
        <w:t>1</w:t>
      </w:r>
      <w:r w:rsidRPr="004B6DAF">
        <w:rPr>
          <w:rFonts w:cstheme="minorHAnsi"/>
          <w:sz w:val="18"/>
          <w:szCs w:val="18"/>
        </w:rPr>
        <w:t>MMPI – Ministarstvo mora, prometa i infrastrukture</w:t>
      </w:r>
    </w:p>
    <w:p w14:paraId="4E168585" w14:textId="3EF5CFA1" w:rsidR="000B3A72" w:rsidRPr="000851CA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0851CA">
        <w:rPr>
          <w:rFonts w:cstheme="minorHAnsi"/>
        </w:rPr>
        <w:t>Prihodi od godišnje naknade za uporabu javnih cesta u 202</w:t>
      </w:r>
      <w:r w:rsidR="00133574">
        <w:rPr>
          <w:rFonts w:cstheme="minorHAnsi"/>
        </w:rPr>
        <w:t>5</w:t>
      </w:r>
      <w:r w:rsidR="00A542DF" w:rsidRPr="000851CA">
        <w:rPr>
          <w:rFonts w:cstheme="minorHAnsi"/>
        </w:rPr>
        <w:t>. godini</w:t>
      </w:r>
      <w:r w:rsidRPr="000851CA">
        <w:rPr>
          <w:rFonts w:cstheme="minorHAnsi"/>
        </w:rPr>
        <w:t xml:space="preserve"> ostvareni su putem stanica za tehnički pregled </w:t>
      </w:r>
      <w:r w:rsidR="0094069C" w:rsidRPr="000851CA">
        <w:rPr>
          <w:rFonts w:cstheme="minorHAnsi"/>
        </w:rPr>
        <w:t xml:space="preserve">vozila </w:t>
      </w:r>
      <w:r w:rsidRPr="000851CA">
        <w:rPr>
          <w:rFonts w:cstheme="minorHAnsi"/>
        </w:rPr>
        <w:t xml:space="preserve">i izravnim uplatama na izdvojeni žiro račun Županijske uprave za ceste Primorsko-goranske </w:t>
      </w:r>
      <w:r w:rsidRPr="000851CA">
        <w:rPr>
          <w:rFonts w:cstheme="minorHAnsi"/>
        </w:rPr>
        <w:lastRenderedPageBreak/>
        <w:t>županije</w:t>
      </w:r>
      <w:r w:rsidR="00C72E2C" w:rsidRPr="000851CA">
        <w:rPr>
          <w:rFonts w:cstheme="minorHAnsi"/>
        </w:rPr>
        <w:t xml:space="preserve"> </w:t>
      </w:r>
      <w:r w:rsidR="009F399C" w:rsidRPr="000851CA">
        <w:rPr>
          <w:rFonts w:cstheme="minorHAnsi"/>
        </w:rPr>
        <w:t xml:space="preserve">u iznosu od </w:t>
      </w:r>
      <w:r w:rsidR="00133574">
        <w:rPr>
          <w:rFonts w:cstheme="minorHAnsi"/>
        </w:rPr>
        <w:t>6.424.534,38</w:t>
      </w:r>
      <w:r w:rsidR="000851CA" w:rsidRPr="000851CA">
        <w:rPr>
          <w:rFonts w:cstheme="minorHAnsi"/>
        </w:rPr>
        <w:t xml:space="preserve"> eur</w:t>
      </w:r>
      <w:r w:rsidR="00133574">
        <w:rPr>
          <w:rFonts w:cstheme="minorHAnsi"/>
        </w:rPr>
        <w:t>a</w:t>
      </w:r>
      <w:r w:rsidR="009F399C" w:rsidRPr="000851CA">
        <w:rPr>
          <w:rFonts w:cstheme="minorHAnsi"/>
        </w:rPr>
        <w:t>,</w:t>
      </w:r>
      <w:r w:rsidRPr="000851CA">
        <w:rPr>
          <w:rFonts w:cstheme="minorHAnsi"/>
        </w:rPr>
        <w:t xml:space="preserve"> te </w:t>
      </w:r>
      <w:r w:rsidR="00C72E2C" w:rsidRPr="000851CA">
        <w:rPr>
          <w:rFonts w:cstheme="minorHAnsi"/>
        </w:rPr>
        <w:t xml:space="preserve">od Ministarstva mora, prometa i </w:t>
      </w:r>
      <w:r w:rsidR="00BA1CBC" w:rsidRPr="000851CA">
        <w:rPr>
          <w:rFonts w:cstheme="minorHAnsi"/>
        </w:rPr>
        <w:t>in</w:t>
      </w:r>
      <w:r w:rsidR="009F399C" w:rsidRPr="000851CA">
        <w:rPr>
          <w:rFonts w:cstheme="minorHAnsi"/>
        </w:rPr>
        <w:t xml:space="preserve">frastrukture u iznosu </w:t>
      </w:r>
      <w:r w:rsidR="003D3C93" w:rsidRPr="000851CA">
        <w:rPr>
          <w:rFonts w:cstheme="minorHAnsi"/>
        </w:rPr>
        <w:t xml:space="preserve">od </w:t>
      </w:r>
      <w:r w:rsidR="00133574">
        <w:rPr>
          <w:rFonts w:cstheme="minorHAnsi"/>
        </w:rPr>
        <w:t>59.823,12</w:t>
      </w:r>
      <w:r w:rsidR="00C95502" w:rsidRPr="000851CA">
        <w:rPr>
          <w:rFonts w:cstheme="minorHAnsi"/>
        </w:rPr>
        <w:t xml:space="preserve"> eur</w:t>
      </w:r>
      <w:r w:rsidR="00133574">
        <w:rPr>
          <w:rFonts w:cstheme="minorHAnsi"/>
        </w:rPr>
        <w:t>a</w:t>
      </w:r>
      <w:r w:rsidR="00C72E2C" w:rsidRPr="000851CA">
        <w:rPr>
          <w:rFonts w:cstheme="minorHAnsi"/>
        </w:rPr>
        <w:t>.</w:t>
      </w:r>
    </w:p>
    <w:p w14:paraId="7DF56BED" w14:textId="03DDE743" w:rsidR="000B3A72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055B85">
        <w:rPr>
          <w:rFonts w:cstheme="minorHAnsi"/>
        </w:rPr>
        <w:t>Ostvarenu godišnju naknadu za uporabu javnih cesta od Ministarstva mora, prometa i infrastrukture čine prihodi od nadoknađenih sredstava godišnje naknade ostvareni temel</w:t>
      </w:r>
      <w:r w:rsidR="00124E90" w:rsidRPr="00055B85">
        <w:rPr>
          <w:rFonts w:cstheme="minorHAnsi"/>
        </w:rPr>
        <w:t>jem odredbi Zakona o cestama („Narodne novine“</w:t>
      </w:r>
      <w:r w:rsidR="00FB4B53" w:rsidRPr="00055B85">
        <w:rPr>
          <w:rFonts w:cstheme="minorHAnsi"/>
        </w:rPr>
        <w:t xml:space="preserve">, broj </w:t>
      </w:r>
      <w:hyperlink r:id="rId11" w:tgtFrame="_blank" w:history="1">
        <w:r w:rsidRPr="00055B85">
          <w:rPr>
            <w:rFonts w:cstheme="minorHAnsi"/>
            <w:bCs/>
          </w:rPr>
          <w:t>84/11</w:t>
        </w:r>
      </w:hyperlink>
      <w:r w:rsidR="00FB4B53" w:rsidRPr="00055B85">
        <w:rPr>
          <w:rFonts w:cstheme="minorHAnsi"/>
        </w:rPr>
        <w:t xml:space="preserve">, </w:t>
      </w:r>
      <w:hyperlink r:id="rId12" w:tgtFrame="_blank" w:history="1">
        <w:r w:rsidR="00AA3832" w:rsidRPr="00055B85">
          <w:rPr>
            <w:rFonts w:cstheme="minorHAnsi"/>
            <w:bCs/>
          </w:rPr>
          <w:t>18</w:t>
        </w:r>
        <w:r w:rsidRPr="00055B85">
          <w:rPr>
            <w:rFonts w:cstheme="minorHAnsi"/>
            <w:bCs/>
          </w:rPr>
          <w:t>/13</w:t>
        </w:r>
      </w:hyperlink>
      <w:r w:rsidR="00FB4B53" w:rsidRPr="00055B85">
        <w:rPr>
          <w:rFonts w:cstheme="minorHAnsi"/>
        </w:rPr>
        <w:t xml:space="preserve">, </w:t>
      </w:r>
      <w:r w:rsidR="00AA3832" w:rsidRPr="00055B85">
        <w:rPr>
          <w:rFonts w:cstheme="minorHAnsi"/>
        </w:rPr>
        <w:t xml:space="preserve">22/13, </w:t>
      </w:r>
      <w:hyperlink r:id="rId13" w:tgtFrame="_blank" w:history="1">
        <w:r w:rsidRPr="00055B85">
          <w:rPr>
            <w:rFonts w:cstheme="minorHAnsi"/>
            <w:bCs/>
          </w:rPr>
          <w:t>54/13</w:t>
        </w:r>
      </w:hyperlink>
      <w:r w:rsidR="00FB4B53" w:rsidRPr="00055B85">
        <w:rPr>
          <w:rFonts w:cstheme="minorHAnsi"/>
        </w:rPr>
        <w:t xml:space="preserve">, </w:t>
      </w:r>
      <w:hyperlink r:id="rId14" w:tgtFrame="_blank" w:history="1">
        <w:r w:rsidRPr="00055B85">
          <w:rPr>
            <w:rFonts w:cstheme="minorHAnsi"/>
            <w:bCs/>
          </w:rPr>
          <w:t>148/13</w:t>
        </w:r>
      </w:hyperlink>
      <w:r w:rsidR="00FB4B53" w:rsidRPr="00055B85">
        <w:rPr>
          <w:rFonts w:cstheme="minorHAnsi"/>
        </w:rPr>
        <w:t xml:space="preserve">, </w:t>
      </w:r>
      <w:hyperlink r:id="rId15" w:tgtFrame="_blank" w:history="1">
        <w:r w:rsidRPr="00055B85">
          <w:rPr>
            <w:rFonts w:cstheme="minorHAnsi"/>
            <w:bCs/>
          </w:rPr>
          <w:t>92/14</w:t>
        </w:r>
      </w:hyperlink>
      <w:r w:rsidR="00FB4B53" w:rsidRPr="00055B85">
        <w:rPr>
          <w:rFonts w:cstheme="minorHAnsi"/>
        </w:rPr>
        <w:t xml:space="preserve">, </w:t>
      </w:r>
      <w:hyperlink r:id="rId16" w:tgtFrame="_blank" w:history="1">
        <w:r w:rsidRPr="00055B85">
          <w:rPr>
            <w:rFonts w:cstheme="minorHAnsi"/>
            <w:bCs/>
          </w:rPr>
          <w:t>110/19</w:t>
        </w:r>
      </w:hyperlink>
      <w:r w:rsidR="00AA3832" w:rsidRPr="00055B85">
        <w:rPr>
          <w:rFonts w:cstheme="minorHAnsi"/>
          <w:bCs/>
        </w:rPr>
        <w:t xml:space="preserve">, </w:t>
      </w:r>
      <w:r w:rsidR="00C07B10" w:rsidRPr="00055B85">
        <w:rPr>
          <w:rFonts w:cstheme="minorHAnsi"/>
          <w:bCs/>
        </w:rPr>
        <w:t>144/21</w:t>
      </w:r>
      <w:r w:rsidR="00BE7D50" w:rsidRPr="00055B85">
        <w:rPr>
          <w:rFonts w:cstheme="minorHAnsi"/>
          <w:bCs/>
        </w:rPr>
        <w:t>,</w:t>
      </w:r>
      <w:r w:rsidR="00AA3832" w:rsidRPr="00055B85">
        <w:rPr>
          <w:rFonts w:cstheme="minorHAnsi"/>
          <w:bCs/>
        </w:rPr>
        <w:t xml:space="preserve"> 114/22</w:t>
      </w:r>
      <w:r w:rsidR="00247DC5">
        <w:rPr>
          <w:rFonts w:cstheme="minorHAnsi"/>
          <w:bCs/>
        </w:rPr>
        <w:t xml:space="preserve">, 04/23, </w:t>
      </w:r>
      <w:r w:rsidR="00BE7D50" w:rsidRPr="00055B85">
        <w:rPr>
          <w:rFonts w:cstheme="minorHAnsi"/>
          <w:bCs/>
        </w:rPr>
        <w:t>133/23</w:t>
      </w:r>
      <w:r w:rsidRPr="00055B85">
        <w:rPr>
          <w:rFonts w:cstheme="minorHAnsi"/>
        </w:rPr>
        <w:t>) prema kojima osobe s invaliditetom ne plaćaju naknadu pri registraciji vozila, a županijske uprave za ceste ostvaruju pravo na nadoknadu iz sredstava Državnog proračuna.</w:t>
      </w:r>
    </w:p>
    <w:p w14:paraId="178DAEEA" w14:textId="45DA511C" w:rsidR="000B3A72" w:rsidRPr="000851CA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0851CA">
        <w:rPr>
          <w:rFonts w:cstheme="minorHAnsi"/>
        </w:rPr>
        <w:t xml:space="preserve">Županijska uprava za ceste Primorsko-goranske županije je u </w:t>
      </w:r>
      <w:r w:rsidR="000851CA" w:rsidRPr="000851CA">
        <w:rPr>
          <w:rFonts w:cstheme="minorHAnsi"/>
        </w:rPr>
        <w:t xml:space="preserve">prvom polugodištu </w:t>
      </w:r>
      <w:r w:rsidRPr="000851CA">
        <w:rPr>
          <w:rFonts w:cstheme="minorHAnsi"/>
        </w:rPr>
        <w:t>202</w:t>
      </w:r>
      <w:r w:rsidR="00133574">
        <w:rPr>
          <w:rFonts w:cstheme="minorHAnsi"/>
        </w:rPr>
        <w:t>5</w:t>
      </w:r>
      <w:r w:rsidR="00A542DF" w:rsidRPr="000851CA">
        <w:rPr>
          <w:rFonts w:cstheme="minorHAnsi"/>
        </w:rPr>
        <w:t>. godin</w:t>
      </w:r>
      <w:r w:rsidR="000851CA" w:rsidRPr="000851CA">
        <w:rPr>
          <w:rFonts w:cstheme="minorHAnsi"/>
        </w:rPr>
        <w:t>e</w:t>
      </w:r>
      <w:r w:rsidRPr="000851CA">
        <w:rPr>
          <w:rFonts w:cstheme="minorHAnsi"/>
        </w:rPr>
        <w:t xml:space="preserve"> izvršila povrat godišnje naknade za uporabu javnih cesta vlasnicima odjav</w:t>
      </w:r>
      <w:r w:rsidR="00AA3832" w:rsidRPr="000851CA">
        <w:rPr>
          <w:rFonts w:cstheme="minorHAnsi"/>
        </w:rPr>
        <w:t>ljenih vozila u iznosu</w:t>
      </w:r>
      <w:r w:rsidR="003D3C93" w:rsidRPr="000851CA">
        <w:rPr>
          <w:rFonts w:cstheme="minorHAnsi"/>
        </w:rPr>
        <w:t xml:space="preserve"> od</w:t>
      </w:r>
      <w:r w:rsidR="00AA3832" w:rsidRPr="000851CA">
        <w:rPr>
          <w:rFonts w:cstheme="minorHAnsi"/>
        </w:rPr>
        <w:t xml:space="preserve"> </w:t>
      </w:r>
      <w:r w:rsidR="00133574">
        <w:rPr>
          <w:rFonts w:cstheme="minorHAnsi"/>
        </w:rPr>
        <w:t>7.918,25</w:t>
      </w:r>
      <w:r w:rsidR="00A542DF" w:rsidRPr="000851CA">
        <w:rPr>
          <w:rFonts w:cstheme="minorHAnsi"/>
        </w:rPr>
        <w:t xml:space="preserve"> eur</w:t>
      </w:r>
      <w:r w:rsidR="00133574">
        <w:rPr>
          <w:rFonts w:cstheme="minorHAnsi"/>
        </w:rPr>
        <w:t>a</w:t>
      </w:r>
      <w:r w:rsidRPr="000851CA">
        <w:rPr>
          <w:rFonts w:cstheme="minorHAnsi"/>
        </w:rPr>
        <w:t xml:space="preserve"> (za razdoblje u kojem je, računajući od dana odjave vozila, prestala uporaba javnih cesta) tako da su prihodi knjigovodstveno umanjeni za </w:t>
      </w:r>
      <w:r w:rsidR="00FB4B53" w:rsidRPr="000851CA">
        <w:rPr>
          <w:rFonts w:cstheme="minorHAnsi"/>
        </w:rPr>
        <w:t>povrat navedenih sredstava.</w:t>
      </w:r>
    </w:p>
    <w:p w14:paraId="7FA671CA" w14:textId="44F60B80" w:rsidR="000B3A72" w:rsidRPr="000851CA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0851CA">
        <w:rPr>
          <w:rFonts w:cstheme="minorHAnsi"/>
        </w:rPr>
        <w:t>Slijedom navedenog,</w:t>
      </w:r>
      <w:r w:rsidR="00714CD2" w:rsidRPr="000851CA">
        <w:rPr>
          <w:rFonts w:cstheme="minorHAnsi"/>
        </w:rPr>
        <w:t xml:space="preserve"> </w:t>
      </w:r>
      <w:r w:rsidRPr="000851CA">
        <w:rPr>
          <w:rFonts w:cstheme="minorHAnsi"/>
        </w:rPr>
        <w:t>ukupno ostvareni prihodi od godišnje naknade za uporabu j</w:t>
      </w:r>
      <w:r w:rsidR="00BA1CBC" w:rsidRPr="000851CA">
        <w:rPr>
          <w:rFonts w:cstheme="minorHAnsi"/>
        </w:rPr>
        <w:t>avn</w:t>
      </w:r>
      <w:r w:rsidR="00F45629" w:rsidRPr="000851CA">
        <w:rPr>
          <w:rFonts w:cstheme="minorHAnsi"/>
        </w:rPr>
        <w:t xml:space="preserve">ih cesta </w:t>
      </w:r>
      <w:r w:rsidR="000851CA" w:rsidRPr="000851CA">
        <w:rPr>
          <w:rFonts w:cstheme="minorHAnsi"/>
        </w:rPr>
        <w:t>u prvom polugodištu 202</w:t>
      </w:r>
      <w:r w:rsidR="00133574">
        <w:rPr>
          <w:rFonts w:cstheme="minorHAnsi"/>
        </w:rPr>
        <w:t>5</w:t>
      </w:r>
      <w:r w:rsidR="000851CA" w:rsidRPr="000851CA">
        <w:rPr>
          <w:rFonts w:cstheme="minorHAnsi"/>
        </w:rPr>
        <w:t xml:space="preserve">. godine </w:t>
      </w:r>
      <w:r w:rsidR="00F45629" w:rsidRPr="000851CA">
        <w:rPr>
          <w:rFonts w:cstheme="minorHAnsi"/>
        </w:rPr>
        <w:t xml:space="preserve">iznose </w:t>
      </w:r>
      <w:r w:rsidR="00133574">
        <w:rPr>
          <w:rFonts w:cstheme="minorHAnsi"/>
        </w:rPr>
        <w:t>6.476.439,25</w:t>
      </w:r>
      <w:r w:rsidR="00C95502" w:rsidRPr="000851CA">
        <w:rPr>
          <w:rFonts w:cstheme="minorHAnsi"/>
        </w:rPr>
        <w:t xml:space="preserve"> eur</w:t>
      </w:r>
      <w:r w:rsidR="00133574">
        <w:rPr>
          <w:rFonts w:cstheme="minorHAnsi"/>
        </w:rPr>
        <w:t>a</w:t>
      </w:r>
      <w:r w:rsidR="00BA1CBC" w:rsidRPr="000851CA">
        <w:rPr>
          <w:rFonts w:cstheme="minorHAnsi"/>
        </w:rPr>
        <w:t xml:space="preserve"> ili </w:t>
      </w:r>
      <w:r w:rsidR="00133574">
        <w:rPr>
          <w:rFonts w:cstheme="minorHAnsi"/>
        </w:rPr>
        <w:t>50,93</w:t>
      </w:r>
      <w:r w:rsidRPr="000851CA">
        <w:rPr>
          <w:rFonts w:cstheme="minorHAnsi"/>
        </w:rPr>
        <w:t xml:space="preserve">% </w:t>
      </w:r>
      <w:r w:rsidR="0057763E" w:rsidRPr="000851CA">
        <w:rPr>
          <w:rFonts w:cstheme="minorHAnsi"/>
        </w:rPr>
        <w:t>godišnjeg plana. U usporedbi s istim razdobljem prethodne godine</w:t>
      </w:r>
      <w:r w:rsidRPr="000851CA">
        <w:rPr>
          <w:rFonts w:cstheme="minorHAnsi"/>
        </w:rPr>
        <w:t xml:space="preserve"> ostvareni prihodi od </w:t>
      </w:r>
      <w:r w:rsidR="00AA3182" w:rsidRPr="000851CA">
        <w:rPr>
          <w:rFonts w:cstheme="minorHAnsi"/>
        </w:rPr>
        <w:t xml:space="preserve">godišnje naknade veći su za </w:t>
      </w:r>
      <w:r w:rsidR="00133574">
        <w:rPr>
          <w:rFonts w:cstheme="minorHAnsi"/>
        </w:rPr>
        <w:t>225.419,85</w:t>
      </w:r>
      <w:r w:rsidR="000851CA" w:rsidRPr="000851CA">
        <w:rPr>
          <w:rFonts w:cstheme="minorHAnsi"/>
        </w:rPr>
        <w:t xml:space="preserve"> </w:t>
      </w:r>
      <w:r w:rsidR="00C95502" w:rsidRPr="000851CA">
        <w:rPr>
          <w:rFonts w:cstheme="minorHAnsi"/>
        </w:rPr>
        <w:t>eur</w:t>
      </w:r>
      <w:r w:rsidR="00133574">
        <w:rPr>
          <w:rFonts w:cstheme="minorHAnsi"/>
        </w:rPr>
        <w:t>a</w:t>
      </w:r>
      <w:r w:rsidR="00D64FCE" w:rsidRPr="000851CA">
        <w:rPr>
          <w:rFonts w:cstheme="minorHAnsi"/>
        </w:rPr>
        <w:t xml:space="preserve"> ili </w:t>
      </w:r>
      <w:r w:rsidR="00133574">
        <w:rPr>
          <w:rFonts w:cstheme="minorHAnsi"/>
        </w:rPr>
        <w:t>3,61</w:t>
      </w:r>
      <w:r w:rsidR="00FB4B53" w:rsidRPr="000851CA">
        <w:rPr>
          <w:rFonts w:cstheme="minorHAnsi"/>
        </w:rPr>
        <w:t>%</w:t>
      </w:r>
      <w:r w:rsidR="005C26D3" w:rsidRPr="000851CA">
        <w:rPr>
          <w:rFonts w:cstheme="minorHAnsi"/>
        </w:rPr>
        <w:t xml:space="preserve">, </w:t>
      </w:r>
      <w:r w:rsidR="0057763E" w:rsidRPr="000851CA">
        <w:rPr>
          <w:rFonts w:cstheme="minorHAnsi"/>
        </w:rPr>
        <w:t>što je rezultat povećanja broja registriranih vozila čiji vlasnici imaju prebivalište ili sjedište na području Primorsko-goranske županije.</w:t>
      </w:r>
    </w:p>
    <w:p w14:paraId="72E5F3EC" w14:textId="77777777" w:rsidR="00AF6C56" w:rsidRDefault="00AF6C56" w:rsidP="00AF6C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b/>
          <w:lang w:eastAsia="hr-HR"/>
        </w:rPr>
      </w:pPr>
      <w:r w:rsidRPr="00310091">
        <w:rPr>
          <w:rFonts w:eastAsiaTheme="minorEastAsia" w:cstheme="minorHAnsi"/>
          <w:b/>
          <w:lang w:eastAsia="hr-HR"/>
        </w:rPr>
        <w:t>Prihodi od upravnih i administrativnih pristojbi</w:t>
      </w:r>
      <w:r>
        <w:rPr>
          <w:rFonts w:eastAsiaTheme="minorEastAsia" w:cstheme="minorHAnsi"/>
          <w:b/>
          <w:lang w:eastAsia="hr-HR"/>
        </w:rPr>
        <w:t>, pristojbi po posebnim propisima i naknada</w:t>
      </w:r>
      <w:r w:rsidRPr="00310091">
        <w:rPr>
          <w:rFonts w:eastAsiaTheme="minorEastAsia" w:cstheme="minorHAnsi"/>
          <w:b/>
          <w:lang w:eastAsia="hr-HR"/>
        </w:rPr>
        <w:t xml:space="preserve"> </w:t>
      </w:r>
    </w:p>
    <w:p w14:paraId="6DFD2825" w14:textId="067044A5" w:rsidR="00394810" w:rsidRDefault="00AF6C56" w:rsidP="00394810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>Prihodi od upravnih i administrativnih pristojbi, pristojbi po posebnim propisima i naknada ostvareni</w:t>
      </w:r>
      <w:r w:rsidR="00E56F60">
        <w:rPr>
          <w:rFonts w:eastAsiaTheme="minorEastAsia" w:cstheme="minorHAnsi"/>
          <w:lang w:eastAsia="hr-HR"/>
        </w:rPr>
        <w:t xml:space="preserve"> su</w:t>
      </w:r>
      <w:r>
        <w:rPr>
          <w:rFonts w:eastAsiaTheme="minorEastAsia" w:cstheme="minorHAnsi"/>
          <w:lang w:eastAsia="hr-HR"/>
        </w:rPr>
        <w:t xml:space="preserve"> </w:t>
      </w:r>
      <w:r w:rsidR="00394810">
        <w:rPr>
          <w:rFonts w:eastAsiaTheme="minorEastAsia" w:cstheme="minorHAnsi"/>
          <w:lang w:eastAsia="hr-HR"/>
        </w:rPr>
        <w:t xml:space="preserve">u iznosu </w:t>
      </w:r>
      <w:r w:rsidR="00E56F60">
        <w:rPr>
          <w:rFonts w:eastAsiaTheme="minorEastAsia" w:cstheme="minorHAnsi"/>
          <w:lang w:eastAsia="hr-HR"/>
        </w:rPr>
        <w:t xml:space="preserve">od </w:t>
      </w:r>
      <w:r w:rsidR="00394810">
        <w:rPr>
          <w:rFonts w:eastAsiaTheme="minorEastAsia" w:cstheme="minorHAnsi"/>
          <w:lang w:eastAsia="hr-HR"/>
        </w:rPr>
        <w:t xml:space="preserve">14.625,23 eura ili 14.282,45 eura više u odnosu na </w:t>
      </w:r>
      <w:r w:rsidR="00191ED0">
        <w:rPr>
          <w:rFonts w:eastAsiaTheme="minorEastAsia" w:cstheme="minorHAnsi"/>
          <w:lang w:eastAsia="hr-HR"/>
        </w:rPr>
        <w:t>isto razdoblje prethodne godine</w:t>
      </w:r>
      <w:r w:rsidR="00394810">
        <w:rPr>
          <w:rFonts w:eastAsiaTheme="minorEastAsia" w:cstheme="minorHAnsi"/>
          <w:lang w:eastAsia="hr-HR"/>
        </w:rPr>
        <w:t>.</w:t>
      </w:r>
      <w:r w:rsidR="00394810" w:rsidRPr="00293B8A">
        <w:rPr>
          <w:rFonts w:eastAsiaTheme="minorEastAsia" w:cstheme="minorHAnsi"/>
          <w:lang w:eastAsia="hr-HR"/>
        </w:rPr>
        <w:t xml:space="preserve"> </w:t>
      </w:r>
      <w:r w:rsidR="00394810">
        <w:rPr>
          <w:rFonts w:eastAsiaTheme="minorEastAsia" w:cstheme="minorHAnsi"/>
          <w:lang w:eastAsia="hr-HR"/>
        </w:rPr>
        <w:t>O</w:t>
      </w:r>
      <w:r w:rsidR="00394810" w:rsidRPr="00293B8A">
        <w:rPr>
          <w:rFonts w:eastAsiaTheme="minorEastAsia" w:cstheme="minorHAnsi"/>
          <w:lang w:eastAsia="hr-HR"/>
        </w:rPr>
        <w:t>dnos</w:t>
      </w:r>
      <w:r w:rsidR="00E56F60">
        <w:rPr>
          <w:rFonts w:eastAsiaTheme="minorEastAsia" w:cstheme="minorHAnsi"/>
          <w:lang w:eastAsia="hr-HR"/>
        </w:rPr>
        <w:t>e</w:t>
      </w:r>
      <w:r w:rsidR="00394810" w:rsidRPr="00293B8A">
        <w:rPr>
          <w:rFonts w:eastAsiaTheme="minorEastAsia" w:cstheme="minorHAnsi"/>
          <w:lang w:eastAsia="hr-HR"/>
        </w:rPr>
        <w:t xml:space="preserve"> se na prihode od refundacije štet</w:t>
      </w:r>
      <w:r w:rsidR="00394810">
        <w:rPr>
          <w:rFonts w:eastAsiaTheme="minorEastAsia" w:cstheme="minorHAnsi"/>
          <w:lang w:eastAsia="hr-HR"/>
        </w:rPr>
        <w:t>a</w:t>
      </w:r>
      <w:r w:rsidR="00394810" w:rsidRPr="00293B8A">
        <w:rPr>
          <w:rFonts w:eastAsiaTheme="minorEastAsia" w:cstheme="minorHAnsi"/>
          <w:lang w:eastAsia="hr-HR"/>
        </w:rPr>
        <w:t xml:space="preserve"> s osnova osiguranja</w:t>
      </w:r>
      <w:r w:rsidR="00394810">
        <w:rPr>
          <w:rFonts w:eastAsiaTheme="minorEastAsia" w:cstheme="minorHAnsi"/>
          <w:lang w:eastAsia="hr-HR"/>
        </w:rPr>
        <w:t xml:space="preserve"> i ostale prihode,</w:t>
      </w:r>
      <w:r w:rsidR="00E56F60">
        <w:rPr>
          <w:rFonts w:eastAsiaTheme="minorEastAsia" w:cstheme="minorHAnsi"/>
          <w:lang w:eastAsia="hr-HR"/>
        </w:rPr>
        <w:t xml:space="preserve"> a navedeno povećanje</w:t>
      </w:r>
      <w:r w:rsidR="00394810">
        <w:rPr>
          <w:rFonts w:eastAsiaTheme="minorEastAsia" w:cstheme="minorHAnsi"/>
          <w:lang w:eastAsia="hr-HR"/>
        </w:rPr>
        <w:t xml:space="preserve"> odnosi </w:t>
      </w:r>
      <w:r w:rsidR="00E56F60">
        <w:rPr>
          <w:rFonts w:eastAsiaTheme="minorEastAsia" w:cstheme="minorHAnsi"/>
          <w:lang w:eastAsia="hr-HR"/>
        </w:rPr>
        <w:t xml:space="preserve">se </w:t>
      </w:r>
      <w:r w:rsidR="00394810">
        <w:rPr>
          <w:rFonts w:eastAsiaTheme="minorEastAsia" w:cstheme="minorHAnsi"/>
          <w:lang w:eastAsia="hr-HR"/>
        </w:rPr>
        <w:t xml:space="preserve">na </w:t>
      </w:r>
      <w:r w:rsidR="00E56F60">
        <w:rPr>
          <w:rFonts w:eastAsiaTheme="minorEastAsia" w:cstheme="minorHAnsi"/>
          <w:lang w:eastAsia="hr-HR"/>
        </w:rPr>
        <w:t>naplaćene odštetne zahtjeve osiguravajućih društava</w:t>
      </w:r>
      <w:r w:rsidR="00394810">
        <w:rPr>
          <w:rFonts w:eastAsiaTheme="minorEastAsia" w:cstheme="minorHAnsi"/>
          <w:lang w:eastAsia="hr-HR"/>
        </w:rPr>
        <w:t>.</w:t>
      </w:r>
    </w:p>
    <w:p w14:paraId="3A76B62B" w14:textId="7DC79DC9" w:rsidR="00121B78" w:rsidRDefault="00121B78" w:rsidP="00121B7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b/>
          <w:lang w:eastAsia="hr-HR"/>
        </w:rPr>
      </w:pPr>
      <w:r>
        <w:rPr>
          <w:rFonts w:eastAsiaTheme="minorEastAsia" w:cstheme="minorHAnsi"/>
          <w:b/>
          <w:lang w:eastAsia="hr-HR"/>
        </w:rPr>
        <w:t>Prihodi od donacija</w:t>
      </w:r>
    </w:p>
    <w:p w14:paraId="1325ACAE" w14:textId="261F5022" w:rsidR="00394810" w:rsidRDefault="00247DC5" w:rsidP="00394810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Tahoma"/>
        </w:rPr>
      </w:pPr>
      <w:r>
        <w:rPr>
          <w:rFonts w:eastAsiaTheme="minorEastAsia" w:cstheme="minorHAnsi"/>
          <w:lang w:eastAsia="hr-HR"/>
        </w:rPr>
        <w:t xml:space="preserve">Prihodi od donacija </w:t>
      </w:r>
      <w:r w:rsidR="007F17DB" w:rsidRPr="007F17DB">
        <w:rPr>
          <w:rFonts w:eastAsiaTheme="minorEastAsia" w:cstheme="minorHAnsi"/>
          <w:lang w:eastAsia="hr-HR"/>
        </w:rPr>
        <w:t xml:space="preserve">od pravnih </w:t>
      </w:r>
      <w:r w:rsidR="00394810" w:rsidRPr="002352EF">
        <w:rPr>
          <w:rFonts w:eastAsiaTheme="minorEastAsia" w:cstheme="minorHAnsi"/>
          <w:lang w:eastAsia="hr-HR"/>
        </w:rPr>
        <w:t xml:space="preserve">osoba izvan općeg proračuna iznose </w:t>
      </w:r>
      <w:r w:rsidR="00394810">
        <w:rPr>
          <w:rFonts w:eastAsiaTheme="minorEastAsia" w:cstheme="minorHAnsi"/>
          <w:lang w:eastAsia="hr-HR"/>
        </w:rPr>
        <w:t>863.497,67</w:t>
      </w:r>
      <w:r w:rsidR="00394810" w:rsidRPr="002352EF">
        <w:rPr>
          <w:rFonts w:eastAsiaTheme="minorEastAsia" w:cstheme="minorHAnsi"/>
          <w:lang w:eastAsia="hr-HR"/>
        </w:rPr>
        <w:t xml:space="preserve"> eura ili </w:t>
      </w:r>
      <w:r w:rsidR="00191ED0">
        <w:rPr>
          <w:rFonts w:eastAsiaTheme="minorEastAsia" w:cstheme="minorHAnsi"/>
          <w:lang w:eastAsia="hr-HR"/>
        </w:rPr>
        <w:t xml:space="preserve">83,37% godišnjeg plana odnosno </w:t>
      </w:r>
      <w:r w:rsidR="00394810">
        <w:rPr>
          <w:rFonts w:eastAsiaTheme="minorEastAsia" w:cstheme="minorHAnsi"/>
          <w:lang w:eastAsia="hr-HR"/>
        </w:rPr>
        <w:t>749.143,1</w:t>
      </w:r>
      <w:r w:rsidR="00AB4D77">
        <w:rPr>
          <w:rFonts w:eastAsiaTheme="minorEastAsia" w:cstheme="minorHAnsi"/>
          <w:lang w:eastAsia="hr-HR"/>
        </w:rPr>
        <w:t xml:space="preserve">3 eura više u odnosu na </w:t>
      </w:r>
      <w:r w:rsidR="00191ED0">
        <w:rPr>
          <w:rFonts w:eastAsiaTheme="minorEastAsia" w:cstheme="minorHAnsi"/>
          <w:lang w:eastAsia="hr-HR"/>
        </w:rPr>
        <w:t>isto razdoblje prethodne godine.</w:t>
      </w:r>
      <w:r w:rsidR="00394810" w:rsidRPr="002352EF">
        <w:rPr>
          <w:rFonts w:eastAsiaTheme="minorEastAsia" w:cstheme="minorHAnsi"/>
          <w:lang w:eastAsia="hr-HR"/>
        </w:rPr>
        <w:t xml:space="preserve"> </w:t>
      </w:r>
      <w:r w:rsidR="00394810" w:rsidRPr="002352EF">
        <w:rPr>
          <w:rFonts w:cstheme="minorHAnsi"/>
        </w:rPr>
        <w:t>Naveden</w:t>
      </w:r>
      <w:r w:rsidR="00394810">
        <w:rPr>
          <w:rFonts w:cstheme="minorHAnsi"/>
        </w:rPr>
        <w:t xml:space="preserve">o povećanje </w:t>
      </w:r>
      <w:r w:rsidR="00394810" w:rsidRPr="002352EF">
        <w:rPr>
          <w:rFonts w:cstheme="minorHAnsi"/>
        </w:rPr>
        <w:t>prihod</w:t>
      </w:r>
      <w:r w:rsidR="00394810">
        <w:rPr>
          <w:rFonts w:cstheme="minorHAnsi"/>
        </w:rPr>
        <w:t xml:space="preserve">a u odnosu na </w:t>
      </w:r>
      <w:r w:rsidR="00191ED0">
        <w:rPr>
          <w:rFonts w:cstheme="minorHAnsi"/>
        </w:rPr>
        <w:t>prethodnu godinu</w:t>
      </w:r>
      <w:r w:rsidR="00394810">
        <w:rPr>
          <w:rFonts w:cstheme="minorHAnsi"/>
        </w:rPr>
        <w:t xml:space="preserve"> </w:t>
      </w:r>
      <w:r w:rsidR="00394810" w:rsidRPr="002352EF">
        <w:rPr>
          <w:rFonts w:ascii="Calibri" w:hAnsi="Calibri" w:cs="Tahoma"/>
        </w:rPr>
        <w:t>odnos</w:t>
      </w:r>
      <w:r w:rsidR="00394810">
        <w:rPr>
          <w:rFonts w:ascii="Calibri" w:hAnsi="Calibri" w:cs="Tahoma"/>
        </w:rPr>
        <w:t>i</w:t>
      </w:r>
      <w:r w:rsidR="00394810" w:rsidRPr="002352EF">
        <w:rPr>
          <w:rFonts w:ascii="Calibri" w:hAnsi="Calibri" w:cs="Tahoma"/>
        </w:rPr>
        <w:t xml:space="preserve"> se na </w:t>
      </w:r>
      <w:r w:rsidR="00394810">
        <w:rPr>
          <w:rFonts w:ascii="Calibri" w:hAnsi="Calibri" w:cs="Tahoma"/>
        </w:rPr>
        <w:t xml:space="preserve">ostvareni prihod od </w:t>
      </w:r>
      <w:r w:rsidR="00394810" w:rsidRPr="002352EF">
        <w:rPr>
          <w:rFonts w:ascii="Calibri" w:hAnsi="Calibri" w:cs="Tahoma"/>
        </w:rPr>
        <w:t>donacij</w:t>
      </w:r>
      <w:r w:rsidR="00394810">
        <w:rPr>
          <w:rFonts w:ascii="Calibri" w:hAnsi="Calibri" w:cs="Tahoma"/>
        </w:rPr>
        <w:t>e</w:t>
      </w:r>
      <w:r w:rsidR="00394810" w:rsidRPr="002352EF">
        <w:rPr>
          <w:rFonts w:ascii="Calibri" w:hAnsi="Calibri" w:cs="Tahoma"/>
        </w:rPr>
        <w:t xml:space="preserve"> društva </w:t>
      </w:r>
      <w:r w:rsidR="00394810">
        <w:rPr>
          <w:rFonts w:ascii="Calibri" w:hAnsi="Calibri" w:cs="Tahoma"/>
        </w:rPr>
        <w:t>JANAF d.d.</w:t>
      </w:r>
      <w:r w:rsidR="00394810" w:rsidRPr="002352EF">
        <w:rPr>
          <w:rFonts w:ascii="Calibri" w:hAnsi="Calibri" w:cs="Tahoma"/>
        </w:rPr>
        <w:t xml:space="preserve"> </w:t>
      </w:r>
      <w:r w:rsidR="00394810">
        <w:rPr>
          <w:rFonts w:ascii="Calibri" w:hAnsi="Calibri" w:cs="Tahoma"/>
        </w:rPr>
        <w:t>prema zaključenom Sporazumu o sufinanciranju sanacije kolnika te rješavanja oborinske odvodnje</w:t>
      </w:r>
      <w:r w:rsidR="00D373C8">
        <w:rPr>
          <w:rFonts w:ascii="Calibri" w:hAnsi="Calibri" w:cs="Tahoma"/>
        </w:rPr>
        <w:t xml:space="preserve"> na ŽC5068 dionica 3. od </w:t>
      </w:r>
      <w:proofErr w:type="spellStart"/>
      <w:r w:rsidR="00D373C8">
        <w:rPr>
          <w:rFonts w:ascii="Calibri" w:hAnsi="Calibri" w:cs="Tahoma"/>
        </w:rPr>
        <w:t>stac</w:t>
      </w:r>
      <w:proofErr w:type="spellEnd"/>
      <w:r w:rsidR="00D373C8">
        <w:rPr>
          <w:rFonts w:ascii="Calibri" w:hAnsi="Calibri" w:cs="Tahoma"/>
        </w:rPr>
        <w:t>. k</w:t>
      </w:r>
      <w:r w:rsidR="00394810">
        <w:rPr>
          <w:rFonts w:ascii="Calibri" w:hAnsi="Calibri" w:cs="Tahoma"/>
        </w:rPr>
        <w:t>m 1+9</w:t>
      </w:r>
      <w:r w:rsidR="00D373C8">
        <w:rPr>
          <w:rFonts w:ascii="Calibri" w:hAnsi="Calibri" w:cs="Tahoma"/>
        </w:rPr>
        <w:t xml:space="preserve">54 (priključak JANAF) do </w:t>
      </w:r>
      <w:proofErr w:type="spellStart"/>
      <w:r w:rsidR="00D373C8">
        <w:rPr>
          <w:rFonts w:ascii="Calibri" w:hAnsi="Calibri" w:cs="Tahoma"/>
        </w:rPr>
        <w:t>stac</w:t>
      </w:r>
      <w:proofErr w:type="spellEnd"/>
      <w:r w:rsidR="00D373C8">
        <w:rPr>
          <w:rFonts w:ascii="Calibri" w:hAnsi="Calibri" w:cs="Tahoma"/>
        </w:rPr>
        <w:t>. k</w:t>
      </w:r>
      <w:r w:rsidR="00394810">
        <w:rPr>
          <w:rFonts w:ascii="Calibri" w:hAnsi="Calibri" w:cs="Tahoma"/>
        </w:rPr>
        <w:t xml:space="preserve">m 4+643-bunker prije naselja </w:t>
      </w:r>
      <w:proofErr w:type="spellStart"/>
      <w:r w:rsidR="00394810">
        <w:rPr>
          <w:rFonts w:ascii="Calibri" w:hAnsi="Calibri" w:cs="Tahoma"/>
        </w:rPr>
        <w:t>Križišće</w:t>
      </w:r>
      <w:proofErr w:type="spellEnd"/>
      <w:r w:rsidR="00394810">
        <w:rPr>
          <w:rFonts w:ascii="Calibri" w:hAnsi="Calibri" w:cs="Tahoma"/>
        </w:rPr>
        <w:t xml:space="preserve">. </w:t>
      </w:r>
      <w:r w:rsidR="00AB4D77">
        <w:rPr>
          <w:rFonts w:ascii="Calibri" w:hAnsi="Calibri" w:cs="Tahoma"/>
        </w:rPr>
        <w:t>Prihodi su ostvareni sukladno dina</w:t>
      </w:r>
      <w:r w:rsidR="00D373C8">
        <w:rPr>
          <w:rFonts w:ascii="Calibri" w:hAnsi="Calibri" w:cs="Tahoma"/>
        </w:rPr>
        <w:t xml:space="preserve">mici izvršenih radova. </w:t>
      </w:r>
      <w:r w:rsidR="00C0420F">
        <w:rPr>
          <w:rFonts w:ascii="Calibri" w:hAnsi="Calibri" w:cs="Tahoma"/>
        </w:rPr>
        <w:t>Radovi su</w:t>
      </w:r>
      <w:r w:rsidR="00191ED0">
        <w:rPr>
          <w:rFonts w:ascii="Calibri" w:hAnsi="Calibri" w:cs="Tahoma"/>
        </w:rPr>
        <w:t xml:space="preserve"> u potpunosti izvršeni u</w:t>
      </w:r>
      <w:r w:rsidR="00A82AF8">
        <w:rPr>
          <w:rFonts w:ascii="Calibri" w:hAnsi="Calibri" w:cs="Tahoma"/>
        </w:rPr>
        <w:t xml:space="preserve"> prvom polugodištu 2025. godine, te će se razlika sredstava između planiranog i ostvarenog uskladiti II. Izmjenama i dopunama Financijskog plana za 2025. godinu.</w:t>
      </w:r>
    </w:p>
    <w:p w14:paraId="50510E80" w14:textId="1E649144" w:rsidR="000B3A72" w:rsidRPr="00034F3F" w:rsidRDefault="000B3A72" w:rsidP="00124E90">
      <w:pPr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CD5B87">
        <w:rPr>
          <w:rFonts w:cstheme="minorHAnsi"/>
          <w:b/>
        </w:rPr>
        <w:t>Ostali prihodi</w:t>
      </w:r>
    </w:p>
    <w:p w14:paraId="0BDC1413" w14:textId="61B29835" w:rsidR="007F7A3A" w:rsidRDefault="007F7A3A" w:rsidP="007F7A3A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</w:pPr>
      <w:r>
        <w:rPr>
          <w:rFonts w:eastAsiaTheme="minorEastAsia" w:cstheme="minorHAnsi"/>
          <w:lang w:eastAsia="hr-HR"/>
        </w:rPr>
        <w:t>Ostali prihodi o</w:t>
      </w:r>
      <w:r w:rsidRPr="0056630B">
        <w:rPr>
          <w:rFonts w:eastAsiaTheme="minorEastAsia" w:cstheme="minorHAnsi"/>
          <w:lang w:eastAsia="hr-HR"/>
        </w:rPr>
        <w:t xml:space="preserve">stvareni su u iznosu od </w:t>
      </w:r>
      <w:r>
        <w:rPr>
          <w:rFonts w:eastAsiaTheme="minorEastAsia" w:cstheme="minorHAnsi"/>
          <w:lang w:eastAsia="hr-HR"/>
        </w:rPr>
        <w:t xml:space="preserve">4.240,50 eura ili 2.876,56 eura više u odnosu na </w:t>
      </w:r>
      <w:r w:rsidR="00191ED0">
        <w:rPr>
          <w:rFonts w:eastAsiaTheme="minorEastAsia" w:cstheme="minorHAnsi"/>
          <w:lang w:eastAsia="hr-HR"/>
        </w:rPr>
        <w:t>isto razdoblje prethodne godine</w:t>
      </w:r>
      <w:r>
        <w:rPr>
          <w:rFonts w:eastAsiaTheme="minorEastAsia" w:cstheme="minorHAnsi"/>
          <w:lang w:eastAsia="hr-HR"/>
        </w:rPr>
        <w:t>. Od</w:t>
      </w:r>
      <w:r w:rsidRPr="00293B8A">
        <w:rPr>
          <w:rFonts w:eastAsiaTheme="minorEastAsia" w:cstheme="minorHAnsi"/>
          <w:lang w:eastAsia="hr-HR"/>
        </w:rPr>
        <w:t>nos</w:t>
      </w:r>
      <w:r>
        <w:rPr>
          <w:rFonts w:eastAsiaTheme="minorEastAsia" w:cstheme="minorHAnsi"/>
          <w:lang w:eastAsia="hr-HR"/>
        </w:rPr>
        <w:t>i</w:t>
      </w:r>
      <w:r w:rsidRPr="00293B8A">
        <w:rPr>
          <w:rFonts w:eastAsiaTheme="minorEastAsia" w:cstheme="minorHAnsi"/>
          <w:lang w:eastAsia="hr-HR"/>
        </w:rPr>
        <w:t xml:space="preserve"> se na naplatu troškova izdavanja </w:t>
      </w:r>
      <w:r w:rsidRPr="00202150">
        <w:t>upravnih rješenja i troškova izvršenog očevida trgovačkim društvima i građanima vezanim uz izdavanje suglasnosti za poduzimanje radnji i aktivnosti na cestovnom zemljištu (obavljanje radova na cesti, priključak, prilaz i sl</w:t>
      </w:r>
      <w:r>
        <w:t xml:space="preserve">.). Veće ostvarenje u odnosu na </w:t>
      </w:r>
      <w:r w:rsidR="00191ED0">
        <w:t>prethodnu godinu</w:t>
      </w:r>
      <w:r w:rsidR="00D373C8">
        <w:t xml:space="preserve"> odnosi se i na </w:t>
      </w:r>
      <w:r>
        <w:t>prihod od parničnih troškova po sudskim p</w:t>
      </w:r>
      <w:r w:rsidR="00D373C8">
        <w:t>resudama u iznosu 2.068,44 eura.</w:t>
      </w:r>
    </w:p>
    <w:p w14:paraId="54CCD4C3" w14:textId="47AD6302" w:rsidR="001A64D8" w:rsidRDefault="001A64D8" w:rsidP="00EC6EAF">
      <w:pPr>
        <w:pStyle w:val="Naslov4"/>
      </w:pPr>
      <w:bookmarkStart w:id="30" w:name="_Toc204162374"/>
      <w:r>
        <w:t>PRIHODI OD PRODAJE NEFINANCIJSKE IMOVINE</w:t>
      </w:r>
      <w:bookmarkEnd w:id="30"/>
    </w:p>
    <w:p w14:paraId="2F3D0F53" w14:textId="60C6FA2B" w:rsidR="007F7A3A" w:rsidRDefault="007F7A3A" w:rsidP="007F7A3A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6E042E">
        <w:rPr>
          <w:rFonts w:eastAsiaTheme="minorEastAsia" w:cstheme="minorHAnsi"/>
          <w:lang w:eastAsia="hr-HR"/>
        </w:rPr>
        <w:t xml:space="preserve">Prihodi od prodaje nefinancijske imovine ostvareni u iznosu od </w:t>
      </w:r>
      <w:r w:rsidR="00AB4D77">
        <w:rPr>
          <w:rFonts w:eastAsiaTheme="minorEastAsia" w:cstheme="minorHAnsi"/>
          <w:lang w:eastAsia="hr-HR"/>
        </w:rPr>
        <w:t xml:space="preserve">360,00 eura ili 3,06% godišnjeg plana, te u </w:t>
      </w:r>
      <w:r w:rsidR="00191ED0">
        <w:rPr>
          <w:rFonts w:eastAsiaTheme="minorEastAsia" w:cstheme="minorHAnsi"/>
          <w:lang w:eastAsia="hr-HR"/>
        </w:rPr>
        <w:t>prethodnoj godini</w:t>
      </w:r>
      <w:r w:rsidR="00AB4D77">
        <w:rPr>
          <w:rFonts w:eastAsiaTheme="minorEastAsia" w:cstheme="minorHAnsi"/>
          <w:lang w:eastAsia="hr-HR"/>
        </w:rPr>
        <w:t xml:space="preserve"> nisu ostvareni. </w:t>
      </w:r>
      <w:r>
        <w:rPr>
          <w:rFonts w:eastAsiaTheme="minorEastAsia" w:cstheme="minorHAnsi"/>
          <w:lang w:eastAsia="hr-HR"/>
        </w:rPr>
        <w:t>O</w:t>
      </w:r>
      <w:r w:rsidRPr="006E042E">
        <w:rPr>
          <w:rFonts w:eastAsiaTheme="minorEastAsia" w:cstheme="minorHAnsi"/>
          <w:lang w:eastAsia="hr-HR"/>
        </w:rPr>
        <w:t xml:space="preserve">dnose se na prihode od prodaje </w:t>
      </w:r>
      <w:r>
        <w:rPr>
          <w:rFonts w:eastAsiaTheme="minorEastAsia" w:cstheme="minorHAnsi"/>
          <w:lang w:eastAsia="hr-HR"/>
        </w:rPr>
        <w:t>rashodovane komunikacijske opreme (50,00 eura) i rashodovane uredske opreme i namještaja (310,00 eura)</w:t>
      </w:r>
      <w:r w:rsidRPr="006E042E">
        <w:rPr>
          <w:rFonts w:eastAsiaTheme="minorEastAsia" w:cstheme="minorHAnsi"/>
          <w:lang w:eastAsia="hr-HR"/>
        </w:rPr>
        <w:t>.</w:t>
      </w:r>
      <w:r>
        <w:rPr>
          <w:rFonts w:eastAsiaTheme="minorEastAsia" w:cstheme="minorHAnsi"/>
          <w:lang w:eastAsia="hr-HR"/>
        </w:rPr>
        <w:t xml:space="preserve"> </w:t>
      </w:r>
      <w:r w:rsidR="00AB4D77">
        <w:rPr>
          <w:rFonts w:eastAsiaTheme="minorEastAsia" w:cstheme="minorHAnsi"/>
          <w:lang w:eastAsia="hr-HR"/>
        </w:rPr>
        <w:t>U prvom polugodištu 2025. godine nisu ostvareni planirani prih</w:t>
      </w:r>
      <w:r w:rsidR="00A82AF8">
        <w:rPr>
          <w:rFonts w:eastAsiaTheme="minorEastAsia" w:cstheme="minorHAnsi"/>
          <w:lang w:eastAsia="hr-HR"/>
        </w:rPr>
        <w:t>odi od prodaje službenog vozila</w:t>
      </w:r>
      <w:r w:rsidR="00AB4D77">
        <w:rPr>
          <w:rFonts w:eastAsiaTheme="minorEastAsia" w:cstheme="minorHAnsi"/>
          <w:lang w:eastAsia="hr-HR"/>
        </w:rPr>
        <w:t>.</w:t>
      </w:r>
    </w:p>
    <w:p w14:paraId="652A9A57" w14:textId="4C487D45" w:rsidR="001A64D8" w:rsidRPr="001A64D8" w:rsidRDefault="007B0F38" w:rsidP="00EC6EAF">
      <w:pPr>
        <w:pStyle w:val="Naslov4"/>
      </w:pPr>
      <w:bookmarkStart w:id="31" w:name="_Toc204162375"/>
      <w:r>
        <w:t xml:space="preserve">PRIMICI OD </w:t>
      </w:r>
      <w:r w:rsidRPr="00310D7E">
        <w:t>FINANCIJSKE</w:t>
      </w:r>
      <w:r>
        <w:t xml:space="preserve"> IMOVINE I ZADUŽIVANJA</w:t>
      </w:r>
      <w:bookmarkEnd w:id="31"/>
    </w:p>
    <w:p w14:paraId="0E7ACA5F" w14:textId="495CDFD6" w:rsidR="00863EC0" w:rsidRDefault="00C553BD" w:rsidP="003511CF">
      <w:pPr>
        <w:jc w:val="both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>Primici od financijske imovine i zaduživanja nisu planirani financijskim planom za 202</w:t>
      </w:r>
      <w:r w:rsidR="007F7A3A">
        <w:rPr>
          <w:rFonts w:eastAsiaTheme="minorEastAsia" w:cstheme="minorHAnsi"/>
          <w:lang w:eastAsia="hr-HR"/>
        </w:rPr>
        <w:t>5</w:t>
      </w:r>
      <w:r>
        <w:rPr>
          <w:rFonts w:eastAsiaTheme="minorEastAsia" w:cstheme="minorHAnsi"/>
          <w:lang w:eastAsia="hr-HR"/>
        </w:rPr>
        <w:t>. godinu</w:t>
      </w:r>
      <w:r w:rsidR="00A5698C">
        <w:rPr>
          <w:rFonts w:eastAsiaTheme="minorEastAsia" w:cstheme="minorHAnsi"/>
          <w:lang w:eastAsia="hr-HR"/>
        </w:rPr>
        <w:t>.</w:t>
      </w:r>
    </w:p>
    <w:p w14:paraId="46B42971" w14:textId="3285ECAE" w:rsidR="000B3A72" w:rsidRPr="00CD5B87" w:rsidRDefault="00A24C0E" w:rsidP="00EC6EAF">
      <w:pPr>
        <w:pStyle w:val="Naslov3"/>
      </w:pPr>
      <w:bookmarkStart w:id="32" w:name="_Toc14862489"/>
      <w:bookmarkStart w:id="33" w:name="_Toc204162376"/>
      <w:r>
        <w:lastRenderedPageBreak/>
        <w:t>OBRAZLOŽENJE IZVRŠENJA RASHODA</w:t>
      </w:r>
      <w:r w:rsidR="000B3A72" w:rsidRPr="00CD5B87">
        <w:t xml:space="preserve"> I </w:t>
      </w:r>
      <w:r w:rsidR="000B3A72" w:rsidRPr="00310D7E">
        <w:t>IZDA</w:t>
      </w:r>
      <w:bookmarkEnd w:id="32"/>
      <w:r>
        <w:t>TAKA</w:t>
      </w:r>
      <w:bookmarkEnd w:id="33"/>
    </w:p>
    <w:p w14:paraId="000A773E" w14:textId="4671E631" w:rsidR="000B3A72" w:rsidRDefault="000B3A72" w:rsidP="00183048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Ukupni rashodi i izdaci</w:t>
      </w:r>
      <w:r w:rsidRPr="00CD5B87">
        <w:rPr>
          <w:rFonts w:cstheme="minorHAnsi"/>
        </w:rPr>
        <w:t xml:space="preserve"> planir</w:t>
      </w:r>
      <w:r w:rsidR="00E47FE4">
        <w:rPr>
          <w:rFonts w:cstheme="minorHAnsi"/>
        </w:rPr>
        <w:t>a</w:t>
      </w:r>
      <w:r w:rsidR="004423C8">
        <w:rPr>
          <w:rFonts w:cstheme="minorHAnsi"/>
        </w:rPr>
        <w:t xml:space="preserve">ni su u iznosu od </w:t>
      </w:r>
      <w:r w:rsidR="00811D99">
        <w:rPr>
          <w:rFonts w:cstheme="minorHAnsi"/>
        </w:rPr>
        <w:t>19.942.687,12</w:t>
      </w:r>
      <w:r w:rsidR="00350C8B">
        <w:rPr>
          <w:rFonts w:cstheme="minorHAnsi"/>
        </w:rPr>
        <w:t xml:space="preserve"> eur</w:t>
      </w:r>
      <w:r w:rsidR="00811D99">
        <w:rPr>
          <w:rFonts w:cstheme="minorHAnsi"/>
        </w:rPr>
        <w:t>a</w:t>
      </w:r>
      <w:r w:rsidR="00EB4963">
        <w:rPr>
          <w:rFonts w:cstheme="minorHAnsi"/>
        </w:rPr>
        <w:t>, dok su u</w:t>
      </w:r>
      <w:r w:rsidR="00AC7724">
        <w:rPr>
          <w:rFonts w:cstheme="minorHAnsi"/>
        </w:rPr>
        <w:t xml:space="preserve"> </w:t>
      </w:r>
      <w:r w:rsidR="00863483">
        <w:rPr>
          <w:rFonts w:cstheme="minorHAnsi"/>
        </w:rPr>
        <w:t xml:space="preserve">prvom polugodištu </w:t>
      </w:r>
      <w:r w:rsidRPr="00CD5B87">
        <w:rPr>
          <w:rFonts w:cstheme="minorHAnsi"/>
        </w:rPr>
        <w:t>202</w:t>
      </w:r>
      <w:r w:rsidR="00811D99">
        <w:rPr>
          <w:rFonts w:cstheme="minorHAnsi"/>
        </w:rPr>
        <w:t>5</w:t>
      </w:r>
      <w:r w:rsidRPr="00CD5B87">
        <w:rPr>
          <w:rFonts w:cstheme="minorHAnsi"/>
        </w:rPr>
        <w:t>. godin</w:t>
      </w:r>
      <w:r w:rsidR="00863483">
        <w:rPr>
          <w:rFonts w:cstheme="minorHAnsi"/>
        </w:rPr>
        <w:t>e</w:t>
      </w:r>
      <w:r w:rsidRPr="00CD5B87">
        <w:rPr>
          <w:rFonts w:cstheme="minorHAnsi"/>
        </w:rPr>
        <w:t xml:space="preserve"> iz</w:t>
      </w:r>
      <w:r w:rsidR="004423C8">
        <w:rPr>
          <w:rFonts w:cstheme="minorHAnsi"/>
        </w:rPr>
        <w:t xml:space="preserve">vršeni u iznosu od </w:t>
      </w:r>
      <w:r w:rsidR="00811D99">
        <w:rPr>
          <w:rFonts w:cstheme="minorHAnsi"/>
        </w:rPr>
        <w:t>8.493.754,45</w:t>
      </w:r>
      <w:r w:rsidR="00350C8B">
        <w:rPr>
          <w:rFonts w:cstheme="minorHAnsi"/>
        </w:rPr>
        <w:t xml:space="preserve"> eur</w:t>
      </w:r>
      <w:r w:rsidR="00811D99">
        <w:rPr>
          <w:rFonts w:cstheme="minorHAnsi"/>
        </w:rPr>
        <w:t>a</w:t>
      </w:r>
      <w:r w:rsidR="004423C8">
        <w:rPr>
          <w:rFonts w:cstheme="minorHAnsi"/>
        </w:rPr>
        <w:t xml:space="preserve"> ili </w:t>
      </w:r>
      <w:r w:rsidR="00C87230">
        <w:rPr>
          <w:rFonts w:cstheme="minorHAnsi"/>
        </w:rPr>
        <w:t>42,59</w:t>
      </w:r>
      <w:r w:rsidR="00E47FE4">
        <w:rPr>
          <w:rFonts w:cstheme="minorHAnsi"/>
        </w:rPr>
        <w:t>% godišnje</w:t>
      </w:r>
      <w:r w:rsidR="00183048">
        <w:rPr>
          <w:rFonts w:cstheme="minorHAnsi"/>
        </w:rPr>
        <w:t xml:space="preserve">g plana, </w:t>
      </w:r>
      <w:r w:rsidR="00AE4D50">
        <w:rPr>
          <w:rFonts w:cstheme="minorHAnsi"/>
        </w:rPr>
        <w:t>te</w:t>
      </w:r>
      <w:r w:rsidR="00183048">
        <w:rPr>
          <w:rFonts w:cstheme="minorHAnsi"/>
        </w:rPr>
        <w:t xml:space="preserve"> za </w:t>
      </w:r>
      <w:r w:rsidR="00C87230">
        <w:rPr>
          <w:rFonts w:cstheme="minorHAnsi"/>
        </w:rPr>
        <w:t>2.049.708,83</w:t>
      </w:r>
      <w:r w:rsidR="00055B85">
        <w:rPr>
          <w:rFonts w:cstheme="minorHAnsi"/>
        </w:rPr>
        <w:t xml:space="preserve"> </w:t>
      </w:r>
      <w:r w:rsidR="00350C8B">
        <w:rPr>
          <w:rFonts w:cstheme="minorHAnsi"/>
        </w:rPr>
        <w:t>eur</w:t>
      </w:r>
      <w:r w:rsidR="00C87230">
        <w:rPr>
          <w:rFonts w:cstheme="minorHAnsi"/>
        </w:rPr>
        <w:t>a</w:t>
      </w:r>
      <w:r w:rsidR="004423C8">
        <w:rPr>
          <w:rFonts w:cstheme="minorHAnsi"/>
        </w:rPr>
        <w:t xml:space="preserve"> ili </w:t>
      </w:r>
      <w:r w:rsidR="00C87230">
        <w:rPr>
          <w:rFonts w:cstheme="minorHAnsi"/>
        </w:rPr>
        <w:t>31,81</w:t>
      </w:r>
      <w:r w:rsidRPr="00CD5B87">
        <w:rPr>
          <w:rFonts w:cstheme="minorHAnsi"/>
        </w:rPr>
        <w:t xml:space="preserve">% </w:t>
      </w:r>
      <w:r w:rsidR="00C87230">
        <w:rPr>
          <w:rFonts w:cstheme="minorHAnsi"/>
        </w:rPr>
        <w:t>više</w:t>
      </w:r>
      <w:r w:rsidRPr="00CD5B87">
        <w:rPr>
          <w:rFonts w:cstheme="minorHAnsi"/>
        </w:rPr>
        <w:t xml:space="preserve"> u usporedbi s istim razdobljem prethodne godine.</w:t>
      </w:r>
    </w:p>
    <w:p w14:paraId="46E093CE" w14:textId="2921AC21" w:rsidR="003D40D4" w:rsidRPr="00293B8A" w:rsidRDefault="003D40D4" w:rsidP="003D40D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Vrijednosno najznačajniji udje</w:t>
      </w:r>
      <w:r>
        <w:rPr>
          <w:rFonts w:eastAsiaTheme="minorEastAsia" w:cstheme="minorHAnsi"/>
          <w:lang w:eastAsia="hr-HR"/>
        </w:rPr>
        <w:t>l u rashodima</w:t>
      </w:r>
      <w:r w:rsidRPr="00293B8A">
        <w:rPr>
          <w:rFonts w:eastAsiaTheme="minorEastAsia" w:cstheme="minorHAnsi"/>
          <w:lang w:eastAsia="hr-HR"/>
        </w:rPr>
        <w:t xml:space="preserve"> </w:t>
      </w:r>
      <w:r>
        <w:rPr>
          <w:rFonts w:eastAsiaTheme="minorEastAsia" w:cstheme="minorHAnsi"/>
          <w:lang w:eastAsia="hr-HR"/>
        </w:rPr>
        <w:t xml:space="preserve">poslovanja </w:t>
      </w:r>
      <w:r w:rsidRPr="00293B8A">
        <w:rPr>
          <w:rFonts w:eastAsiaTheme="minorEastAsia" w:cstheme="minorHAnsi"/>
          <w:lang w:eastAsia="hr-HR"/>
        </w:rPr>
        <w:t>imaju materijalni rashodi u izn</w:t>
      </w:r>
      <w:r>
        <w:rPr>
          <w:rFonts w:eastAsiaTheme="minorEastAsia" w:cstheme="minorHAnsi"/>
          <w:lang w:eastAsia="hr-HR"/>
        </w:rPr>
        <w:t xml:space="preserve">osu </w:t>
      </w:r>
      <w:r w:rsidR="00EB4963">
        <w:rPr>
          <w:rFonts w:eastAsiaTheme="minorEastAsia" w:cstheme="minorHAnsi"/>
          <w:lang w:eastAsia="hr-HR"/>
        </w:rPr>
        <w:t xml:space="preserve">od </w:t>
      </w:r>
      <w:r w:rsidR="00C87230">
        <w:rPr>
          <w:rFonts w:eastAsiaTheme="minorEastAsia" w:cstheme="minorHAnsi"/>
          <w:lang w:eastAsia="hr-HR"/>
        </w:rPr>
        <w:t>5.839.743,22</w:t>
      </w:r>
      <w:r>
        <w:rPr>
          <w:rFonts w:eastAsiaTheme="minorEastAsia" w:cstheme="minorHAnsi"/>
          <w:lang w:eastAsia="hr-HR"/>
        </w:rPr>
        <w:t xml:space="preserve"> eur</w:t>
      </w:r>
      <w:r w:rsidR="00C87230">
        <w:rPr>
          <w:rFonts w:eastAsiaTheme="minorEastAsia" w:cstheme="minorHAnsi"/>
          <w:lang w:eastAsia="hr-HR"/>
        </w:rPr>
        <w:t>a</w:t>
      </w:r>
      <w:r>
        <w:rPr>
          <w:rFonts w:eastAsiaTheme="minorEastAsia" w:cstheme="minorHAnsi"/>
          <w:lang w:eastAsia="hr-HR"/>
        </w:rPr>
        <w:t xml:space="preserve"> ili </w:t>
      </w:r>
      <w:r w:rsidR="00C87230">
        <w:rPr>
          <w:rFonts w:eastAsiaTheme="minorEastAsia" w:cstheme="minorHAnsi"/>
          <w:lang w:eastAsia="hr-HR"/>
        </w:rPr>
        <w:t>86,27</w:t>
      </w:r>
      <w:r>
        <w:rPr>
          <w:rFonts w:eastAsiaTheme="minorEastAsia" w:cstheme="minorHAnsi"/>
          <w:lang w:eastAsia="hr-HR"/>
        </w:rPr>
        <w:t xml:space="preserve">%, zatim </w:t>
      </w:r>
      <w:r w:rsidR="00453A46" w:rsidRPr="00293B8A">
        <w:rPr>
          <w:rFonts w:eastAsiaTheme="minorEastAsia" w:cstheme="minorHAnsi"/>
          <w:lang w:eastAsia="hr-HR"/>
        </w:rPr>
        <w:t>rashodi z</w:t>
      </w:r>
      <w:r w:rsidR="00453A46">
        <w:rPr>
          <w:rFonts w:eastAsiaTheme="minorEastAsia" w:cstheme="minorHAnsi"/>
          <w:lang w:eastAsia="hr-HR"/>
        </w:rPr>
        <w:t xml:space="preserve">a zaposlene u iznosu od 494.268,70 eura ili 7,30%, </w:t>
      </w:r>
      <w:r>
        <w:rPr>
          <w:rFonts w:eastAsiaTheme="minorEastAsia" w:cstheme="minorHAnsi"/>
          <w:lang w:eastAsia="hr-HR"/>
        </w:rPr>
        <w:t xml:space="preserve">pomoći </w:t>
      </w:r>
      <w:r w:rsidR="00453A46">
        <w:rPr>
          <w:rFonts w:eastAsiaTheme="minorEastAsia" w:cstheme="minorHAnsi"/>
          <w:lang w:eastAsia="hr-HR"/>
        </w:rPr>
        <w:t xml:space="preserve">dane unutar općeg proračuna </w:t>
      </w:r>
      <w:r>
        <w:rPr>
          <w:rFonts w:eastAsiaTheme="minorEastAsia" w:cstheme="minorHAnsi"/>
          <w:lang w:eastAsia="hr-HR"/>
        </w:rPr>
        <w:t xml:space="preserve">u iznosu </w:t>
      </w:r>
      <w:r w:rsidR="00EB4963">
        <w:rPr>
          <w:rFonts w:eastAsiaTheme="minorEastAsia" w:cstheme="minorHAnsi"/>
          <w:lang w:eastAsia="hr-HR"/>
        </w:rPr>
        <w:t xml:space="preserve">od </w:t>
      </w:r>
      <w:r w:rsidR="00C87230">
        <w:rPr>
          <w:rFonts w:eastAsiaTheme="minorEastAsia" w:cstheme="minorHAnsi"/>
          <w:lang w:eastAsia="hr-HR"/>
        </w:rPr>
        <w:t>362.615,52</w:t>
      </w:r>
      <w:r>
        <w:rPr>
          <w:rFonts w:eastAsiaTheme="minorEastAsia" w:cstheme="minorHAnsi"/>
          <w:lang w:eastAsia="hr-HR"/>
        </w:rPr>
        <w:t xml:space="preserve"> eur</w:t>
      </w:r>
      <w:r w:rsidR="00C87230">
        <w:rPr>
          <w:rFonts w:eastAsiaTheme="minorEastAsia" w:cstheme="minorHAnsi"/>
          <w:lang w:eastAsia="hr-HR"/>
        </w:rPr>
        <w:t>a</w:t>
      </w:r>
      <w:r>
        <w:rPr>
          <w:rFonts w:eastAsiaTheme="minorEastAsia" w:cstheme="minorHAnsi"/>
          <w:lang w:eastAsia="hr-HR"/>
        </w:rPr>
        <w:t xml:space="preserve"> ili </w:t>
      </w:r>
      <w:r w:rsidR="00C87230">
        <w:rPr>
          <w:rFonts w:eastAsiaTheme="minorEastAsia" w:cstheme="minorHAnsi"/>
          <w:lang w:eastAsia="hr-HR"/>
        </w:rPr>
        <w:t>5,36</w:t>
      </w:r>
      <w:r>
        <w:rPr>
          <w:rFonts w:eastAsiaTheme="minorEastAsia" w:cstheme="minorHAnsi"/>
          <w:lang w:eastAsia="hr-HR"/>
        </w:rPr>
        <w:t>%,</w:t>
      </w:r>
      <w:r w:rsidR="00863483">
        <w:rPr>
          <w:rFonts w:eastAsiaTheme="minorEastAsia" w:cstheme="minorHAnsi"/>
          <w:lang w:eastAsia="hr-HR"/>
        </w:rPr>
        <w:t xml:space="preserve"> financijski</w:t>
      </w:r>
      <w:r>
        <w:rPr>
          <w:rFonts w:eastAsiaTheme="minorEastAsia" w:cstheme="minorHAnsi"/>
          <w:lang w:eastAsia="hr-HR"/>
        </w:rPr>
        <w:t xml:space="preserve"> rashodi </w:t>
      </w:r>
      <w:r w:rsidR="00EB4963">
        <w:rPr>
          <w:rFonts w:eastAsiaTheme="minorEastAsia" w:cstheme="minorHAnsi"/>
          <w:lang w:eastAsia="hr-HR"/>
        </w:rPr>
        <w:t>u iznosu od</w:t>
      </w:r>
      <w:r>
        <w:rPr>
          <w:rFonts w:eastAsiaTheme="minorEastAsia" w:cstheme="minorHAnsi"/>
          <w:lang w:eastAsia="hr-HR"/>
        </w:rPr>
        <w:t xml:space="preserve"> </w:t>
      </w:r>
      <w:r w:rsidR="00C87230">
        <w:rPr>
          <w:rFonts w:eastAsiaTheme="minorEastAsia" w:cstheme="minorHAnsi"/>
          <w:lang w:eastAsia="hr-HR"/>
        </w:rPr>
        <w:t>65.227,23</w:t>
      </w:r>
      <w:r>
        <w:rPr>
          <w:rFonts w:eastAsiaTheme="minorEastAsia" w:cstheme="minorHAnsi"/>
          <w:lang w:eastAsia="hr-HR"/>
        </w:rPr>
        <w:t xml:space="preserve"> eur</w:t>
      </w:r>
      <w:r w:rsidR="00C87230">
        <w:rPr>
          <w:rFonts w:eastAsiaTheme="minorEastAsia" w:cstheme="minorHAnsi"/>
          <w:lang w:eastAsia="hr-HR"/>
        </w:rPr>
        <w:t>a</w:t>
      </w:r>
      <w:r w:rsidRPr="00293B8A">
        <w:rPr>
          <w:rFonts w:eastAsiaTheme="minorEastAsia" w:cstheme="minorHAnsi"/>
          <w:lang w:eastAsia="hr-HR"/>
        </w:rPr>
        <w:t xml:space="preserve"> </w:t>
      </w:r>
      <w:r w:rsidR="00EB4963">
        <w:rPr>
          <w:rFonts w:eastAsiaTheme="minorEastAsia" w:cstheme="minorHAnsi"/>
          <w:lang w:eastAsia="hr-HR"/>
        </w:rPr>
        <w:t xml:space="preserve">ili </w:t>
      </w:r>
      <w:r w:rsidR="00C87230">
        <w:rPr>
          <w:rFonts w:eastAsiaTheme="minorEastAsia" w:cstheme="minorHAnsi"/>
          <w:lang w:eastAsia="hr-HR"/>
        </w:rPr>
        <w:t>0,96</w:t>
      </w:r>
      <w:r>
        <w:rPr>
          <w:rFonts w:eastAsiaTheme="minorEastAsia" w:cstheme="minorHAnsi"/>
          <w:lang w:eastAsia="hr-HR"/>
        </w:rPr>
        <w:t xml:space="preserve">%, te </w:t>
      </w:r>
      <w:r w:rsidR="00863483">
        <w:rPr>
          <w:rFonts w:eastAsiaTheme="minorEastAsia" w:cstheme="minorHAnsi"/>
          <w:lang w:eastAsia="hr-HR"/>
        </w:rPr>
        <w:t>ostali rashodi</w:t>
      </w:r>
      <w:r>
        <w:rPr>
          <w:rFonts w:eastAsiaTheme="minorEastAsia" w:cstheme="minorHAnsi"/>
          <w:lang w:eastAsia="hr-HR"/>
        </w:rPr>
        <w:t xml:space="preserve"> u iznosu </w:t>
      </w:r>
      <w:r w:rsidR="00EB4963">
        <w:rPr>
          <w:rFonts w:eastAsiaTheme="minorEastAsia" w:cstheme="minorHAnsi"/>
          <w:lang w:eastAsia="hr-HR"/>
        </w:rPr>
        <w:t xml:space="preserve">od </w:t>
      </w:r>
      <w:r w:rsidR="00C87230">
        <w:rPr>
          <w:rFonts w:eastAsiaTheme="minorEastAsia" w:cstheme="minorHAnsi"/>
          <w:lang w:eastAsia="hr-HR"/>
        </w:rPr>
        <w:t>7.650,13</w:t>
      </w:r>
      <w:r>
        <w:rPr>
          <w:rFonts w:eastAsiaTheme="minorEastAsia" w:cstheme="minorHAnsi"/>
          <w:lang w:eastAsia="hr-HR"/>
        </w:rPr>
        <w:t xml:space="preserve"> eur</w:t>
      </w:r>
      <w:r w:rsidR="00C87230">
        <w:rPr>
          <w:rFonts w:eastAsiaTheme="minorEastAsia" w:cstheme="minorHAnsi"/>
          <w:lang w:eastAsia="hr-HR"/>
        </w:rPr>
        <w:t>a</w:t>
      </w:r>
      <w:r>
        <w:rPr>
          <w:rFonts w:eastAsiaTheme="minorEastAsia" w:cstheme="minorHAnsi"/>
          <w:lang w:eastAsia="hr-HR"/>
        </w:rPr>
        <w:t xml:space="preserve"> ili </w:t>
      </w:r>
      <w:r w:rsidR="00C87230">
        <w:rPr>
          <w:rFonts w:eastAsiaTheme="minorEastAsia" w:cstheme="minorHAnsi"/>
          <w:lang w:eastAsia="hr-HR"/>
        </w:rPr>
        <w:t>0,11</w:t>
      </w:r>
      <w:r>
        <w:rPr>
          <w:rFonts w:eastAsiaTheme="minorEastAsia" w:cstheme="minorHAnsi"/>
          <w:lang w:eastAsia="hr-HR"/>
        </w:rPr>
        <w:t>%.</w:t>
      </w:r>
    </w:p>
    <w:p w14:paraId="5DE3EBD2" w14:textId="1A89E22E" w:rsidR="000B3A72" w:rsidRPr="00CD5B87" w:rsidRDefault="008F627C" w:rsidP="00183048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</w:t>
      </w:r>
      <w:r w:rsidR="00880D4A">
        <w:rPr>
          <w:rFonts w:cstheme="minorHAnsi"/>
        </w:rPr>
        <w:t xml:space="preserve">ablici </w:t>
      </w:r>
      <w:r w:rsidR="00E47FE4">
        <w:rPr>
          <w:rFonts w:cstheme="minorHAnsi"/>
        </w:rPr>
        <w:t>5</w:t>
      </w:r>
      <w:r w:rsidR="008008AE">
        <w:rPr>
          <w:rFonts w:cstheme="minorHAnsi"/>
        </w:rPr>
        <w:t xml:space="preserve">. </w:t>
      </w:r>
      <w:r w:rsidR="00B61CEA">
        <w:rPr>
          <w:rFonts w:cstheme="minorHAnsi"/>
        </w:rPr>
        <w:t>koja slijedi prikazani su izvršeni rashodi i izdaci</w:t>
      </w:r>
      <w:r w:rsidR="000B3A72" w:rsidRPr="00CD5B87">
        <w:rPr>
          <w:rFonts w:cstheme="minorHAnsi"/>
        </w:rPr>
        <w:t xml:space="preserve"> Županijske uprave za ceste</w:t>
      </w:r>
      <w:r w:rsidR="00EB4963">
        <w:rPr>
          <w:rFonts w:cstheme="minorHAnsi"/>
        </w:rPr>
        <w:t xml:space="preserve"> Primorsko-goranske županije u </w:t>
      </w:r>
      <w:r w:rsidR="00863483">
        <w:rPr>
          <w:rFonts w:cstheme="minorHAnsi"/>
        </w:rPr>
        <w:t>prvom polugodištu 202</w:t>
      </w:r>
      <w:r w:rsidR="00C87230">
        <w:rPr>
          <w:rFonts w:cstheme="minorHAnsi"/>
        </w:rPr>
        <w:t>5</w:t>
      </w:r>
      <w:r w:rsidR="00863483">
        <w:rPr>
          <w:rFonts w:cstheme="minorHAnsi"/>
        </w:rPr>
        <w:t>. godine</w:t>
      </w:r>
      <w:r w:rsidR="000B3A72" w:rsidRPr="00CD5B87">
        <w:rPr>
          <w:rFonts w:cstheme="minorHAnsi"/>
        </w:rPr>
        <w:t xml:space="preserve"> s usp</w:t>
      </w:r>
      <w:r w:rsidR="006E5A8B">
        <w:rPr>
          <w:rFonts w:cstheme="minorHAnsi"/>
        </w:rPr>
        <w:t xml:space="preserve">orednim pokazateljima izvršenja </w:t>
      </w:r>
      <w:r w:rsidR="000B3A72" w:rsidRPr="00CD5B87">
        <w:rPr>
          <w:rFonts w:cstheme="minorHAnsi"/>
        </w:rPr>
        <w:t>u</w:t>
      </w:r>
      <w:r w:rsidR="00863483">
        <w:rPr>
          <w:rFonts w:cstheme="minorHAnsi"/>
        </w:rPr>
        <w:t xml:space="preserve"> istom razdoblju 202</w:t>
      </w:r>
      <w:r w:rsidR="00C87230">
        <w:rPr>
          <w:rFonts w:cstheme="minorHAnsi"/>
        </w:rPr>
        <w:t>4</w:t>
      </w:r>
      <w:r w:rsidR="00863483">
        <w:rPr>
          <w:rFonts w:cstheme="minorHAnsi"/>
        </w:rPr>
        <w:t>. godine</w:t>
      </w:r>
      <w:r w:rsidR="001F0379">
        <w:rPr>
          <w:rFonts w:cstheme="minorHAnsi"/>
        </w:rPr>
        <w:t xml:space="preserve">, te </w:t>
      </w:r>
      <w:r>
        <w:rPr>
          <w:rFonts w:cstheme="minorHAnsi"/>
        </w:rPr>
        <w:t xml:space="preserve">u </w:t>
      </w:r>
      <w:r w:rsidR="001F0379">
        <w:rPr>
          <w:rFonts w:cstheme="minorHAnsi"/>
        </w:rPr>
        <w:t>gra</w:t>
      </w:r>
      <w:r>
        <w:rPr>
          <w:rFonts w:cstheme="minorHAnsi"/>
        </w:rPr>
        <w:t xml:space="preserve">fičkom </w:t>
      </w:r>
      <w:r w:rsidR="006A02B2">
        <w:rPr>
          <w:rFonts w:cstheme="minorHAnsi"/>
        </w:rPr>
        <w:t>prikaz</w:t>
      </w:r>
      <w:r>
        <w:rPr>
          <w:rFonts w:cstheme="minorHAnsi"/>
        </w:rPr>
        <w:t>u u G</w:t>
      </w:r>
      <w:r w:rsidR="006A02B2">
        <w:rPr>
          <w:rFonts w:cstheme="minorHAnsi"/>
        </w:rPr>
        <w:t>rafikonu 2.</w:t>
      </w:r>
    </w:p>
    <w:p w14:paraId="6062E12C" w14:textId="0E90F2AD" w:rsidR="00A8104D" w:rsidRPr="00543575" w:rsidRDefault="00A8104D" w:rsidP="00C4089B">
      <w:pPr>
        <w:pStyle w:val="Opisslike"/>
        <w:keepNext/>
        <w:spacing w:after="120"/>
        <w:ind w:left="1021" w:hanging="1021"/>
        <w:jc w:val="both"/>
        <w:rPr>
          <w:i w:val="0"/>
          <w:color w:val="222A35" w:themeColor="text2" w:themeShade="80"/>
          <w:sz w:val="22"/>
          <w:szCs w:val="22"/>
        </w:rPr>
      </w:pPr>
      <w:bookmarkStart w:id="34" w:name="_Toc109651259"/>
      <w:bookmarkStart w:id="35" w:name="_Toc204162097"/>
      <w:r w:rsidRPr="00543575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543575">
        <w:rPr>
          <w:i w:val="0"/>
          <w:color w:val="222A35" w:themeColor="text2" w:themeShade="80"/>
          <w:sz w:val="22"/>
          <w:szCs w:val="22"/>
        </w:rPr>
        <w:fldChar w:fldCharType="begin"/>
      </w:r>
      <w:r w:rsidRPr="00543575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543575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0332D">
        <w:rPr>
          <w:i w:val="0"/>
          <w:noProof/>
          <w:color w:val="222A35" w:themeColor="text2" w:themeShade="80"/>
          <w:sz w:val="22"/>
          <w:szCs w:val="22"/>
        </w:rPr>
        <w:t>5</w:t>
      </w:r>
      <w:r w:rsidRPr="00543575">
        <w:rPr>
          <w:i w:val="0"/>
          <w:color w:val="222A35" w:themeColor="text2" w:themeShade="80"/>
          <w:sz w:val="22"/>
          <w:szCs w:val="22"/>
        </w:rPr>
        <w:fldChar w:fldCharType="end"/>
      </w:r>
      <w:r w:rsidR="00FE2594" w:rsidRPr="00543575">
        <w:rPr>
          <w:i w:val="0"/>
          <w:color w:val="222A35" w:themeColor="text2" w:themeShade="80"/>
          <w:sz w:val="22"/>
          <w:szCs w:val="22"/>
        </w:rPr>
        <w:t>.</w:t>
      </w:r>
      <w:r w:rsidR="00D10C51" w:rsidRPr="00543575">
        <w:rPr>
          <w:i w:val="0"/>
          <w:color w:val="222A35" w:themeColor="text2" w:themeShade="80"/>
          <w:sz w:val="22"/>
          <w:szCs w:val="22"/>
        </w:rPr>
        <w:t xml:space="preserve"> Izvršenje rashoda i izdataka u</w:t>
      </w:r>
      <w:r w:rsidRPr="00543575">
        <w:rPr>
          <w:i w:val="0"/>
          <w:color w:val="222A35" w:themeColor="text2" w:themeShade="80"/>
          <w:sz w:val="22"/>
          <w:szCs w:val="22"/>
        </w:rPr>
        <w:t xml:space="preserve"> </w:t>
      </w:r>
      <w:r w:rsidR="00253DC6" w:rsidRPr="00543575">
        <w:rPr>
          <w:i w:val="0"/>
          <w:color w:val="222A35" w:themeColor="text2" w:themeShade="80"/>
          <w:sz w:val="22"/>
          <w:szCs w:val="22"/>
        </w:rPr>
        <w:t xml:space="preserve">prvom polugodištu </w:t>
      </w:r>
      <w:r w:rsidRPr="00543575">
        <w:rPr>
          <w:i w:val="0"/>
          <w:color w:val="222A35" w:themeColor="text2" w:themeShade="80"/>
          <w:sz w:val="22"/>
          <w:szCs w:val="22"/>
        </w:rPr>
        <w:t>202</w:t>
      </w:r>
      <w:r w:rsidR="000B0D81">
        <w:rPr>
          <w:i w:val="0"/>
          <w:color w:val="222A35" w:themeColor="text2" w:themeShade="80"/>
          <w:sz w:val="22"/>
          <w:szCs w:val="22"/>
        </w:rPr>
        <w:t>5</w:t>
      </w:r>
      <w:r w:rsidRPr="00543575">
        <w:rPr>
          <w:i w:val="0"/>
          <w:color w:val="222A35" w:themeColor="text2" w:themeShade="80"/>
          <w:sz w:val="22"/>
          <w:szCs w:val="22"/>
        </w:rPr>
        <w:t>. godin</w:t>
      </w:r>
      <w:r w:rsidR="00253DC6" w:rsidRPr="00543575">
        <w:rPr>
          <w:i w:val="0"/>
          <w:color w:val="222A35" w:themeColor="text2" w:themeShade="80"/>
          <w:sz w:val="22"/>
          <w:szCs w:val="22"/>
        </w:rPr>
        <w:t>e</w:t>
      </w:r>
      <w:r w:rsidRPr="00543575">
        <w:rPr>
          <w:i w:val="0"/>
          <w:color w:val="222A35" w:themeColor="text2" w:themeShade="80"/>
          <w:sz w:val="22"/>
          <w:szCs w:val="22"/>
        </w:rPr>
        <w:t xml:space="preserve"> s usporednim pokazateljima iz</w:t>
      </w:r>
      <w:r w:rsidR="00D10C51" w:rsidRPr="00543575">
        <w:rPr>
          <w:i w:val="0"/>
          <w:color w:val="222A35" w:themeColor="text2" w:themeShade="80"/>
          <w:sz w:val="22"/>
          <w:szCs w:val="22"/>
        </w:rPr>
        <w:t xml:space="preserve">vršenja u </w:t>
      </w:r>
      <w:r w:rsidR="00253DC6" w:rsidRPr="00543575">
        <w:rPr>
          <w:i w:val="0"/>
          <w:color w:val="222A35" w:themeColor="text2" w:themeShade="80"/>
          <w:sz w:val="22"/>
          <w:szCs w:val="22"/>
        </w:rPr>
        <w:t xml:space="preserve">istom razdoblju </w:t>
      </w:r>
      <w:r w:rsidR="004423C8" w:rsidRPr="00543575">
        <w:rPr>
          <w:i w:val="0"/>
          <w:color w:val="222A35" w:themeColor="text2" w:themeShade="80"/>
          <w:sz w:val="22"/>
          <w:szCs w:val="22"/>
        </w:rPr>
        <w:t>202</w:t>
      </w:r>
      <w:r w:rsidR="000B0D81">
        <w:rPr>
          <w:i w:val="0"/>
          <w:color w:val="222A35" w:themeColor="text2" w:themeShade="80"/>
          <w:sz w:val="22"/>
          <w:szCs w:val="22"/>
        </w:rPr>
        <w:t>4</w:t>
      </w:r>
      <w:r w:rsidRPr="00543575">
        <w:rPr>
          <w:i w:val="0"/>
          <w:color w:val="222A35" w:themeColor="text2" w:themeShade="80"/>
          <w:sz w:val="22"/>
          <w:szCs w:val="22"/>
        </w:rPr>
        <w:t>. godin</w:t>
      </w:r>
      <w:bookmarkEnd w:id="34"/>
      <w:r w:rsidR="00683E5A" w:rsidRPr="00543575">
        <w:rPr>
          <w:i w:val="0"/>
          <w:color w:val="222A35" w:themeColor="text2" w:themeShade="80"/>
          <w:sz w:val="22"/>
          <w:szCs w:val="22"/>
        </w:rPr>
        <w:t>e</w:t>
      </w:r>
      <w:bookmarkEnd w:id="35"/>
    </w:p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874"/>
        <w:gridCol w:w="4070"/>
        <w:gridCol w:w="1180"/>
        <w:gridCol w:w="1271"/>
        <w:gridCol w:w="1180"/>
        <w:gridCol w:w="719"/>
        <w:gridCol w:w="706"/>
      </w:tblGrid>
      <w:tr w:rsidR="008008DC" w:rsidRPr="008008DC" w14:paraId="6C87C961" w14:textId="77777777" w:rsidTr="008008DC">
        <w:trPr>
          <w:trHeight w:val="48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A92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Brojčana oznaka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84B6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1382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 xml:space="preserve">Izvršenje </w:t>
            </w: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br/>
              <w:t>I-VI 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3074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9DE6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 xml:space="preserve">Izvršenje </w:t>
            </w: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br/>
              <w:t>I-VI 2025.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262C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Indeks 5./3.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2080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 xml:space="preserve">Indeks 5./4. </w:t>
            </w:r>
          </w:p>
        </w:tc>
      </w:tr>
      <w:tr w:rsidR="008008DC" w:rsidRPr="008008DC" w14:paraId="384EA714" w14:textId="77777777" w:rsidTr="008008DC">
        <w:trPr>
          <w:trHeight w:val="2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8A3F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5E09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696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2A7F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034F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B7E1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5D5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7.</w:t>
            </w:r>
          </w:p>
        </w:tc>
      </w:tr>
      <w:tr w:rsidR="008008DC" w:rsidRPr="008008DC" w14:paraId="11547628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6C76EB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81AE83E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B4C6851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5.726.552,10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D4AC471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15.498.283,46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85EF4CD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6.769.504,80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DE21677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118,21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584C3B3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43,68</w:t>
            </w:r>
          </w:p>
        </w:tc>
      </w:tr>
      <w:tr w:rsidR="008008DC" w:rsidRPr="008008DC" w14:paraId="0A9FE456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A4FC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74A30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5E9FA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258.994,35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E1428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889.391,67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81195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494.268,70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74CCE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190,84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A6636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55,57</w:t>
            </w:r>
          </w:p>
        </w:tc>
      </w:tr>
      <w:tr w:rsidR="008008DC" w:rsidRPr="008008DC" w14:paraId="23853232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6BFE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6C451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6377B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5.050.760,36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B64A3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13.598.481,12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0C431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5.839.743,22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352C3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115,62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AB6D6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42,94</w:t>
            </w:r>
          </w:p>
        </w:tc>
      </w:tr>
      <w:tr w:rsidR="008008DC" w:rsidRPr="008008DC" w14:paraId="4AF78DD9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364C8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E2478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A0B4D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16.235,48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05E9E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93.654,67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A9E7B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65.227,23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E884F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401,76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01E4E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69,65</w:t>
            </w:r>
          </w:p>
        </w:tc>
      </w:tr>
      <w:tr w:rsidR="008008DC" w:rsidRPr="008008DC" w14:paraId="59339472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8CCF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BA5EA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A4C6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399.319,62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6248E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864.756,00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5599E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362.615,52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C9F5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90,81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F8163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41,93</w:t>
            </w:r>
          </w:p>
        </w:tc>
      </w:tr>
      <w:tr w:rsidR="008008DC" w:rsidRPr="008008DC" w14:paraId="2E276019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BF51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26176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1E04E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1.242,29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6F4AB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4FFEA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7.650,13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A8BE5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615,81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5D2DD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14,71</w:t>
            </w:r>
          </w:p>
        </w:tc>
      </w:tr>
      <w:tr w:rsidR="008008DC" w:rsidRPr="008008DC" w14:paraId="02CD69AF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79E6391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25E8C43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037D756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517.493,52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94CAE6C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4.044.403,66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DCC3735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1.524.249,65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E6EBB27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294,54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90EAB46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37,69</w:t>
            </w:r>
          </w:p>
        </w:tc>
      </w:tr>
      <w:tr w:rsidR="008008DC" w:rsidRPr="008008DC" w14:paraId="65A7B372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1C78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CDC6B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neproizvedene</w:t>
            </w:r>
            <w:proofErr w:type="spellEnd"/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0E7E2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CC26A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B12FA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4030B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5B182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8008DC" w:rsidRPr="008008DC" w14:paraId="7EFBF701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C19D7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4FDC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C5D0D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517.493,52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A830D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4.039.403,66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286EE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1.524.249,65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F2005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294,54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C2533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37,73</w:t>
            </w:r>
          </w:p>
        </w:tc>
      </w:tr>
      <w:tr w:rsidR="008008DC" w:rsidRPr="008008DC" w14:paraId="2B252DEC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3FEDA2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68C1486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6FC4D1F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8275C14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9043F7C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304582F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8B7B846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</w:tr>
      <w:tr w:rsidR="008008DC" w:rsidRPr="008008DC" w14:paraId="03C48E9D" w14:textId="77777777" w:rsidTr="008008DC">
        <w:trPr>
          <w:trHeight w:val="34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F7E11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42906" w14:textId="77777777" w:rsidR="008008DC" w:rsidRPr="008008DC" w:rsidRDefault="008008DC" w:rsidP="008008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66C4D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58463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4AF92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03333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93073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50,00</w:t>
            </w:r>
          </w:p>
        </w:tc>
      </w:tr>
      <w:tr w:rsidR="008008DC" w:rsidRPr="008008DC" w14:paraId="1AA3F424" w14:textId="77777777" w:rsidTr="008008DC">
        <w:trPr>
          <w:trHeight w:val="34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9FC08E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RASHODI I IZDACI UKUPNO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59AABECF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6.444.045,62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666E006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19.942.687,12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3ACEAF8" w14:textId="77777777" w:rsidR="008008DC" w:rsidRPr="008008DC" w:rsidRDefault="008008DC" w:rsidP="00800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8.493.754,45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BBF0D0E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131,81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B648736" w14:textId="77777777" w:rsidR="008008DC" w:rsidRPr="008008DC" w:rsidRDefault="008008DC" w:rsidP="00800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00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42,59</w:t>
            </w:r>
          </w:p>
        </w:tc>
      </w:tr>
    </w:tbl>
    <w:p w14:paraId="069C016B" w14:textId="73CBBAB4" w:rsidR="00B40FD8" w:rsidRPr="00800303" w:rsidRDefault="00806016" w:rsidP="00BA0138">
      <w:pPr>
        <w:pStyle w:val="Opisslike"/>
        <w:keepNext/>
        <w:spacing w:before="120" w:after="120"/>
        <w:ind w:left="1134" w:hanging="1134"/>
        <w:jc w:val="both"/>
        <w:rPr>
          <w:rFonts w:cstheme="minorHAnsi"/>
          <w:i w:val="0"/>
          <w:color w:val="222A35" w:themeColor="text2" w:themeShade="80"/>
          <w:sz w:val="22"/>
          <w:szCs w:val="22"/>
        </w:rPr>
      </w:pPr>
      <w:bookmarkStart w:id="36" w:name="_Toc204162227"/>
      <w:r w:rsidRPr="00543575">
        <w:rPr>
          <w:i w:val="0"/>
          <w:color w:val="222A35" w:themeColor="text2" w:themeShade="80"/>
          <w:sz w:val="22"/>
        </w:rPr>
        <w:lastRenderedPageBreak/>
        <w:t xml:space="preserve">Grafikon </w:t>
      </w:r>
      <w:r w:rsidRPr="00543575">
        <w:rPr>
          <w:i w:val="0"/>
          <w:color w:val="222A35" w:themeColor="text2" w:themeShade="80"/>
          <w:sz w:val="22"/>
        </w:rPr>
        <w:fldChar w:fldCharType="begin"/>
      </w:r>
      <w:r w:rsidRPr="00543575">
        <w:rPr>
          <w:i w:val="0"/>
          <w:color w:val="222A35" w:themeColor="text2" w:themeShade="80"/>
          <w:sz w:val="22"/>
        </w:rPr>
        <w:instrText xml:space="preserve"> SEQ Grafikon \* ARABIC </w:instrText>
      </w:r>
      <w:r w:rsidRPr="00543575">
        <w:rPr>
          <w:i w:val="0"/>
          <w:color w:val="222A35" w:themeColor="text2" w:themeShade="80"/>
          <w:sz w:val="22"/>
        </w:rPr>
        <w:fldChar w:fldCharType="separate"/>
      </w:r>
      <w:r w:rsidR="00E0332D">
        <w:rPr>
          <w:i w:val="0"/>
          <w:noProof/>
          <w:color w:val="222A35" w:themeColor="text2" w:themeShade="80"/>
          <w:sz w:val="22"/>
        </w:rPr>
        <w:t>2</w:t>
      </w:r>
      <w:r w:rsidRPr="00543575">
        <w:rPr>
          <w:i w:val="0"/>
          <w:color w:val="222A35" w:themeColor="text2" w:themeShade="80"/>
          <w:sz w:val="22"/>
        </w:rPr>
        <w:fldChar w:fldCharType="end"/>
      </w:r>
      <w:r w:rsidR="00880D4A" w:rsidRPr="00543575">
        <w:rPr>
          <w:i w:val="0"/>
          <w:color w:val="222A35" w:themeColor="text2" w:themeShade="80"/>
          <w:sz w:val="22"/>
        </w:rPr>
        <w:t>.</w:t>
      </w:r>
      <w:r w:rsidRPr="00543575">
        <w:rPr>
          <w:i w:val="0"/>
          <w:color w:val="222A35" w:themeColor="text2" w:themeShade="80"/>
          <w:sz w:val="22"/>
        </w:rPr>
        <w:t xml:space="preserve"> </w:t>
      </w:r>
      <w:r w:rsidR="00335322" w:rsidRPr="00543575">
        <w:rPr>
          <w:i w:val="0"/>
          <w:color w:val="222A35" w:themeColor="text2" w:themeShade="80"/>
          <w:sz w:val="22"/>
          <w:szCs w:val="22"/>
        </w:rPr>
        <w:t xml:space="preserve">Izvršenje rashoda i izdataka </w:t>
      </w:r>
      <w:r w:rsidR="00E245A8">
        <w:rPr>
          <w:rFonts w:cstheme="minorHAnsi"/>
          <w:i w:val="0"/>
          <w:color w:val="222A35" w:themeColor="text2" w:themeShade="80"/>
          <w:sz w:val="22"/>
          <w:szCs w:val="22"/>
        </w:rPr>
        <w:t>u prvom polugodištu</w:t>
      </w:r>
      <w:r w:rsidR="00A83FD5">
        <w:rPr>
          <w:rFonts w:cstheme="minorHAnsi"/>
          <w:i w:val="0"/>
          <w:color w:val="222A35" w:themeColor="text2" w:themeShade="80"/>
          <w:sz w:val="22"/>
          <w:szCs w:val="22"/>
        </w:rPr>
        <w:t xml:space="preserve"> 2025</w:t>
      </w:r>
      <w:r w:rsidR="00475632" w:rsidRPr="00543575">
        <w:rPr>
          <w:rFonts w:cstheme="minorHAnsi"/>
          <w:i w:val="0"/>
          <w:color w:val="222A35" w:themeColor="text2" w:themeShade="80"/>
          <w:sz w:val="22"/>
          <w:szCs w:val="22"/>
        </w:rPr>
        <w:t xml:space="preserve">. godine s usporednim pokazateljima izvršenja </w:t>
      </w:r>
      <w:r w:rsidR="00A83FD5">
        <w:rPr>
          <w:rFonts w:cstheme="minorHAnsi"/>
          <w:i w:val="0"/>
          <w:color w:val="222A35" w:themeColor="text2" w:themeShade="80"/>
          <w:sz w:val="22"/>
          <w:szCs w:val="22"/>
        </w:rPr>
        <w:t>u istom razdoblju 2024</w:t>
      </w:r>
      <w:r w:rsidR="00B40FD8" w:rsidRPr="00800303">
        <w:rPr>
          <w:rFonts w:cstheme="minorHAnsi"/>
          <w:i w:val="0"/>
          <w:color w:val="222A35" w:themeColor="text2" w:themeShade="80"/>
          <w:sz w:val="22"/>
          <w:szCs w:val="22"/>
        </w:rPr>
        <w:t>. godine</w:t>
      </w:r>
      <w:bookmarkEnd w:id="36"/>
    </w:p>
    <w:p w14:paraId="49C80AD9" w14:textId="7A778E70" w:rsidR="00253DC6" w:rsidRDefault="00BA0138" w:rsidP="00797EBC">
      <w:pPr>
        <w:spacing w:after="0" w:line="240" w:lineRule="auto"/>
        <w:jc w:val="center"/>
      </w:pPr>
      <w:r>
        <w:rPr>
          <w:noProof/>
          <w:lang w:eastAsia="hr-HR"/>
        </w:rPr>
        <w:drawing>
          <wp:inline distT="0" distB="0" distL="0" distR="0" wp14:anchorId="57A04BEF" wp14:editId="0BFF6FF1">
            <wp:extent cx="6480000" cy="3600000"/>
            <wp:effectExtent l="0" t="0" r="16510" b="63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6779E93" w14:textId="182346F6" w:rsidR="000B3A72" w:rsidRPr="00CD5B87" w:rsidRDefault="00175536" w:rsidP="00EC6EAF">
      <w:pPr>
        <w:pStyle w:val="Naslov4"/>
      </w:pPr>
      <w:bookmarkStart w:id="37" w:name="_Toc204162377"/>
      <w:r>
        <w:t>RASHODI</w:t>
      </w:r>
      <w:r w:rsidR="005F69E2" w:rsidRPr="00CD5B87">
        <w:t xml:space="preserve"> POSLOVANJA</w:t>
      </w:r>
      <w:bookmarkEnd w:id="37"/>
    </w:p>
    <w:p w14:paraId="1A40011F" w14:textId="595F29D3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poslovanja</w:t>
      </w:r>
      <w:r w:rsidR="002874C0">
        <w:rPr>
          <w:rFonts w:cstheme="minorHAnsi"/>
        </w:rPr>
        <w:t xml:space="preserve"> u 202</w:t>
      </w:r>
      <w:r w:rsidR="00C87230">
        <w:rPr>
          <w:rFonts w:cstheme="minorHAnsi"/>
        </w:rPr>
        <w:t>5</w:t>
      </w:r>
      <w:r w:rsidR="002874C0">
        <w:rPr>
          <w:rFonts w:cstheme="minorHAnsi"/>
        </w:rPr>
        <w:t xml:space="preserve">. godini </w:t>
      </w:r>
      <w:r w:rsidRPr="00CD5B87">
        <w:rPr>
          <w:rFonts w:cstheme="minorHAnsi"/>
        </w:rPr>
        <w:t>pla</w:t>
      </w:r>
      <w:r w:rsidR="001E5D98">
        <w:rPr>
          <w:rFonts w:cstheme="minorHAnsi"/>
        </w:rPr>
        <w:t xml:space="preserve">nirani su u iznosu </w:t>
      </w:r>
      <w:r w:rsidR="00B61CEA">
        <w:rPr>
          <w:rFonts w:cstheme="minorHAnsi"/>
        </w:rPr>
        <w:t xml:space="preserve">od </w:t>
      </w:r>
      <w:r w:rsidR="00C87230">
        <w:rPr>
          <w:rFonts w:cstheme="minorHAnsi"/>
        </w:rPr>
        <w:t>15.498.283,46</w:t>
      </w:r>
      <w:r w:rsidR="00D04194">
        <w:rPr>
          <w:rFonts w:cstheme="minorHAnsi"/>
        </w:rPr>
        <w:t xml:space="preserve"> eur</w:t>
      </w:r>
      <w:r w:rsidR="00C87230">
        <w:rPr>
          <w:rFonts w:cstheme="minorHAnsi"/>
        </w:rPr>
        <w:t>a</w:t>
      </w:r>
      <w:r w:rsidRPr="00CD5B87">
        <w:rPr>
          <w:rFonts w:cstheme="minorHAnsi"/>
        </w:rPr>
        <w:t xml:space="preserve">, a </w:t>
      </w:r>
      <w:r w:rsidR="002874C0">
        <w:rPr>
          <w:rFonts w:cstheme="minorHAnsi"/>
        </w:rPr>
        <w:t>u prvom polugodištu 202</w:t>
      </w:r>
      <w:r w:rsidR="00C87230">
        <w:rPr>
          <w:rFonts w:cstheme="minorHAnsi"/>
        </w:rPr>
        <w:t>5</w:t>
      </w:r>
      <w:r w:rsidR="002874C0">
        <w:rPr>
          <w:rFonts w:cstheme="minorHAnsi"/>
        </w:rPr>
        <w:t xml:space="preserve">. godine </w:t>
      </w:r>
      <w:r w:rsidRPr="00CD5B87">
        <w:rPr>
          <w:rFonts w:cstheme="minorHAnsi"/>
        </w:rPr>
        <w:t>izvršeni u izno</w:t>
      </w:r>
      <w:r w:rsidR="00B61CEA">
        <w:rPr>
          <w:rFonts w:cstheme="minorHAnsi"/>
        </w:rPr>
        <w:t xml:space="preserve">su od </w:t>
      </w:r>
      <w:r w:rsidR="00C87230">
        <w:rPr>
          <w:rFonts w:cstheme="minorHAnsi"/>
        </w:rPr>
        <w:t>6.769.504,80</w:t>
      </w:r>
      <w:r w:rsidR="00D04194">
        <w:rPr>
          <w:rFonts w:cstheme="minorHAnsi"/>
        </w:rPr>
        <w:t xml:space="preserve"> eur</w:t>
      </w:r>
      <w:r w:rsidR="00C87230">
        <w:rPr>
          <w:rFonts w:cstheme="minorHAnsi"/>
        </w:rPr>
        <w:t>a</w:t>
      </w:r>
      <w:r w:rsidR="00B61CEA">
        <w:rPr>
          <w:rFonts w:cstheme="minorHAnsi"/>
        </w:rPr>
        <w:t xml:space="preserve"> ili </w:t>
      </w:r>
      <w:r w:rsidR="00C87230">
        <w:rPr>
          <w:rFonts w:cstheme="minorHAnsi"/>
        </w:rPr>
        <w:t>43,68</w:t>
      </w:r>
      <w:r w:rsidR="00880D4A">
        <w:rPr>
          <w:rFonts w:cstheme="minorHAnsi"/>
        </w:rPr>
        <w:t xml:space="preserve">% </w:t>
      </w:r>
      <w:r w:rsidRPr="00CD5B87">
        <w:rPr>
          <w:rFonts w:cstheme="minorHAnsi"/>
        </w:rPr>
        <w:t xml:space="preserve">godišnjeg </w:t>
      </w:r>
      <w:r w:rsidR="001E5D98">
        <w:rPr>
          <w:rFonts w:cstheme="minorHAnsi"/>
        </w:rPr>
        <w:t>plana</w:t>
      </w:r>
      <w:r w:rsidR="00AE4D50">
        <w:rPr>
          <w:rFonts w:cstheme="minorHAnsi"/>
        </w:rPr>
        <w:t>,</w:t>
      </w:r>
      <w:r w:rsidR="001E5D98">
        <w:rPr>
          <w:rFonts w:cstheme="minorHAnsi"/>
        </w:rPr>
        <w:t xml:space="preserve"> </w:t>
      </w:r>
      <w:r w:rsidR="00AE4D50">
        <w:rPr>
          <w:rFonts w:cstheme="minorHAnsi"/>
        </w:rPr>
        <w:t>te</w:t>
      </w:r>
      <w:r w:rsidR="00B61CEA">
        <w:rPr>
          <w:rFonts w:cstheme="minorHAnsi"/>
        </w:rPr>
        <w:t xml:space="preserve"> za</w:t>
      </w:r>
      <w:r w:rsidR="002874C0">
        <w:rPr>
          <w:rFonts w:cstheme="minorHAnsi"/>
        </w:rPr>
        <w:t xml:space="preserve"> </w:t>
      </w:r>
      <w:r w:rsidR="00C87230">
        <w:rPr>
          <w:rFonts w:cstheme="minorHAnsi"/>
        </w:rPr>
        <w:t>1.042.952,70</w:t>
      </w:r>
      <w:r w:rsidR="00D04194">
        <w:rPr>
          <w:rFonts w:cstheme="minorHAnsi"/>
        </w:rPr>
        <w:t xml:space="preserve"> eur</w:t>
      </w:r>
      <w:r w:rsidR="00C87230">
        <w:rPr>
          <w:rFonts w:cstheme="minorHAnsi"/>
        </w:rPr>
        <w:t>a</w:t>
      </w:r>
      <w:r w:rsidR="004735B0">
        <w:rPr>
          <w:rFonts w:cstheme="minorHAnsi"/>
        </w:rPr>
        <w:t xml:space="preserve"> ili</w:t>
      </w:r>
      <w:r w:rsidR="00B61CEA">
        <w:rPr>
          <w:rFonts w:cstheme="minorHAnsi"/>
        </w:rPr>
        <w:t xml:space="preserve"> </w:t>
      </w:r>
      <w:r w:rsidR="00C87230">
        <w:rPr>
          <w:rFonts w:cstheme="minorHAnsi"/>
        </w:rPr>
        <w:t>18,21%</w:t>
      </w:r>
      <w:r w:rsidRPr="00CD5B87">
        <w:rPr>
          <w:rFonts w:cstheme="minorHAnsi"/>
        </w:rPr>
        <w:t xml:space="preserve"> </w:t>
      </w:r>
      <w:r w:rsidR="00C87230">
        <w:rPr>
          <w:rFonts w:cstheme="minorHAnsi"/>
        </w:rPr>
        <w:t>više</w:t>
      </w:r>
      <w:r w:rsidRPr="00CD5B87">
        <w:rPr>
          <w:rFonts w:cstheme="minorHAnsi"/>
        </w:rPr>
        <w:t xml:space="preserve"> u odnosu na isto razdoblje prethodne godine.</w:t>
      </w:r>
    </w:p>
    <w:p w14:paraId="1F2AC958" w14:textId="77777777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poslovanja odnose se na rashode za zaposlene, materijalne rashode, financijske rashode, pomoći dane unutar općeg proračuna i ostale rashode.</w:t>
      </w:r>
    </w:p>
    <w:p w14:paraId="5308BA01" w14:textId="77777777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Pojedine vrste rashoda unutar rashoda poslovanja izvršene su kako slijedi:</w:t>
      </w:r>
    </w:p>
    <w:p w14:paraId="48B9E6E1" w14:textId="77777777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Rashodi za zaposlene</w:t>
      </w:r>
    </w:p>
    <w:p w14:paraId="7D121786" w14:textId="12600084" w:rsidR="00ED00EB" w:rsidRDefault="00ED00EB" w:rsidP="00ED00EB">
      <w:pPr>
        <w:spacing w:after="0"/>
        <w:jc w:val="both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 xml:space="preserve">Rashodi za zaposlene </w:t>
      </w:r>
      <w:r w:rsidRPr="00293B8A">
        <w:rPr>
          <w:rFonts w:eastAsiaTheme="minorEastAsia" w:cstheme="minorHAnsi"/>
          <w:lang w:eastAsia="hr-HR"/>
        </w:rPr>
        <w:t>ostva</w:t>
      </w:r>
      <w:r>
        <w:rPr>
          <w:rFonts w:eastAsiaTheme="minorEastAsia" w:cstheme="minorHAnsi"/>
          <w:lang w:eastAsia="hr-HR"/>
        </w:rPr>
        <w:t>reni su u iznosu od 494.268,70 eura i</w:t>
      </w:r>
      <w:r w:rsidR="009C6F1C">
        <w:rPr>
          <w:rFonts w:eastAsiaTheme="minorEastAsia" w:cstheme="minorHAnsi"/>
          <w:lang w:eastAsia="hr-HR"/>
        </w:rPr>
        <w:t>li 55,57% godišnjeg plana te</w:t>
      </w:r>
      <w:r w:rsidR="003458E2">
        <w:rPr>
          <w:rFonts w:eastAsiaTheme="minorEastAsia" w:cstheme="minorHAnsi"/>
          <w:lang w:eastAsia="hr-HR"/>
        </w:rPr>
        <w:t xml:space="preserve"> </w:t>
      </w:r>
      <w:r>
        <w:rPr>
          <w:rFonts w:eastAsiaTheme="minorEastAsia" w:cstheme="minorHAnsi"/>
          <w:lang w:eastAsia="hr-HR"/>
        </w:rPr>
        <w:t xml:space="preserve">za 235.274,35 eura </w:t>
      </w:r>
      <w:r w:rsidR="009C6F1C">
        <w:rPr>
          <w:rFonts w:eastAsiaTheme="minorEastAsia" w:cstheme="minorHAnsi"/>
          <w:lang w:eastAsia="hr-HR"/>
        </w:rPr>
        <w:t xml:space="preserve">više </w:t>
      </w:r>
      <w:r>
        <w:rPr>
          <w:rFonts w:eastAsiaTheme="minorEastAsia" w:cstheme="minorHAnsi"/>
          <w:lang w:eastAsia="hr-HR"/>
        </w:rPr>
        <w:t xml:space="preserve">u odnosu na </w:t>
      </w:r>
      <w:r w:rsidR="009C6F1C">
        <w:rPr>
          <w:rFonts w:eastAsiaTheme="minorEastAsia" w:cstheme="minorHAnsi"/>
          <w:lang w:eastAsia="hr-HR"/>
        </w:rPr>
        <w:t xml:space="preserve">proteklo </w:t>
      </w:r>
      <w:r>
        <w:rPr>
          <w:rFonts w:eastAsiaTheme="minorEastAsia" w:cstheme="minorHAnsi"/>
          <w:lang w:eastAsia="hr-HR"/>
        </w:rPr>
        <w:t>razdoblje.</w:t>
      </w:r>
      <w:r w:rsidRPr="00293B8A">
        <w:rPr>
          <w:rFonts w:eastAsiaTheme="minorEastAsia" w:cstheme="minorHAnsi"/>
          <w:lang w:eastAsia="hr-HR"/>
        </w:rPr>
        <w:t xml:space="preserve"> Odnose se na rashode za p</w:t>
      </w:r>
      <w:r>
        <w:rPr>
          <w:rFonts w:eastAsiaTheme="minorEastAsia" w:cstheme="minorHAnsi"/>
          <w:lang w:eastAsia="hr-HR"/>
        </w:rPr>
        <w:t>laće</w:t>
      </w:r>
      <w:r w:rsidRPr="00293B8A">
        <w:rPr>
          <w:rFonts w:eastAsiaTheme="minorEastAsia" w:cstheme="minorHAnsi"/>
          <w:lang w:eastAsia="hr-HR"/>
        </w:rPr>
        <w:t>, do</w:t>
      </w:r>
      <w:r w:rsidR="0079376C">
        <w:rPr>
          <w:rFonts w:eastAsiaTheme="minorEastAsia" w:cstheme="minorHAnsi"/>
          <w:lang w:eastAsia="hr-HR"/>
        </w:rPr>
        <w:t>prinose na plaće te ostale</w:t>
      </w:r>
      <w:r>
        <w:rPr>
          <w:rFonts w:eastAsiaTheme="minorEastAsia" w:cstheme="minorHAnsi"/>
          <w:lang w:eastAsia="hr-HR"/>
        </w:rPr>
        <w:t xml:space="preserve"> rashode za zaposlene (otpremnine prilikom odlaska u mi</w:t>
      </w:r>
      <w:r w:rsidR="00453A46">
        <w:rPr>
          <w:rFonts w:eastAsiaTheme="minorEastAsia" w:cstheme="minorHAnsi"/>
          <w:lang w:eastAsia="hr-HR"/>
        </w:rPr>
        <w:t>rovinu, pomoći, nagrade i sl.).</w:t>
      </w:r>
    </w:p>
    <w:p w14:paraId="778207D8" w14:textId="0B184BA7" w:rsidR="00ED00EB" w:rsidRPr="009C6F1C" w:rsidRDefault="00ED00EB" w:rsidP="00453A46">
      <w:pPr>
        <w:spacing w:before="120"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Rashodi za plaće i doprinose na p</w:t>
      </w:r>
      <w:r w:rsidR="00EC71D5">
        <w:rPr>
          <w:rFonts w:eastAsia="Times New Roman" w:cs="Calibri"/>
          <w:lang w:eastAsia="hr-HR"/>
        </w:rPr>
        <w:t>laće povećali su se</w:t>
      </w:r>
      <w:r>
        <w:rPr>
          <w:rFonts w:eastAsia="Times New Roman" w:cs="Calibri"/>
          <w:lang w:eastAsia="hr-HR"/>
        </w:rPr>
        <w:t xml:space="preserve"> zbog povećanja osnovice za obračun plaće temeljem Odluke Županijske uprave za ceste Primorsko-goranske županije KLASA: </w:t>
      </w:r>
      <w:r>
        <w:rPr>
          <w:rFonts w:cs="Calibri"/>
        </w:rPr>
        <w:t>120-01/24-01/4</w:t>
      </w:r>
      <w:r>
        <w:rPr>
          <w:rFonts w:eastAsia="Times New Roman" w:cs="Calibri"/>
          <w:lang w:eastAsia="hr-HR"/>
        </w:rPr>
        <w:t xml:space="preserve">, URBROJ: </w:t>
      </w:r>
      <w:r>
        <w:rPr>
          <w:rFonts w:cs="Calibri"/>
        </w:rPr>
        <w:t>2170-48-01/08-24-1 od 23. rujna 2024. godine.</w:t>
      </w:r>
      <w:r>
        <w:rPr>
          <w:rFonts w:eastAsia="Times New Roman" w:cs="Calibri"/>
          <w:lang w:eastAsia="hr-HR"/>
        </w:rPr>
        <w:t xml:space="preserve"> </w:t>
      </w:r>
      <w:r>
        <w:t>Člankom 5. Pravilnika o plaćama, naknadama plaća i drugim primanjima u Županijskoj upravi za ceste Primorsko-goranske županije (KLASA: 025-01/24-02/8, URBROJ: 2170-48-01/08-24-4 od 29. travnja 2024. godine) propisano je da osnovicu za izračun plaće utvrđuje Ravnatelj, uz prethodnu suglasnost Upravnog vijeća, a ista ne može biti veća od osnovice plaće osnivača.</w:t>
      </w:r>
      <w:r>
        <w:rPr>
          <w:rFonts w:eastAsia="Times New Roman" w:cs="Calibri"/>
          <w:lang w:eastAsia="hr-HR"/>
        </w:rPr>
        <w:t xml:space="preserve"> </w:t>
      </w:r>
      <w:r>
        <w:t>Dana 11. rujna 2024. godine Primorsko-goranska županija (osnivač Županijske uprave za ceste Primorsko-goranske županije) sklopila je sa Sindikatom državnih i lokalnih službenika i namještenika Republike Hrvatske i Sindikalnom podružnicom Primorsko-goranske županije Dodatak II. Kolektivnog ugovora za službenike i namještenike upravnih tijela Primorsko-goranske županije kojim je utvrđena osnov</w:t>
      </w:r>
      <w:r w:rsidR="00453A46">
        <w:t>ica plaće u visini od 950,00 eura</w:t>
      </w:r>
      <w:r>
        <w:t xml:space="preserve"> koja se primjenjuje počevši od plaće za mjesec siječanj 2025. godine, </w:t>
      </w:r>
      <w:r w:rsidR="00453A46">
        <w:t xml:space="preserve">a </w:t>
      </w:r>
      <w:r>
        <w:t>koja se isplaćuje u veljači 2025. godine.</w:t>
      </w:r>
      <w:r>
        <w:rPr>
          <w:rFonts w:eastAsia="Times New Roman" w:cs="Calibri"/>
          <w:lang w:eastAsia="hr-HR"/>
        </w:rPr>
        <w:t xml:space="preserve"> </w:t>
      </w:r>
      <w:r>
        <w:rPr>
          <w:rFonts w:eastAsiaTheme="minorEastAsia" w:cstheme="minorHAnsi"/>
          <w:lang w:eastAsia="hr-HR"/>
        </w:rPr>
        <w:t xml:space="preserve">Rashodi za zaposlene povećali su se i radi izmjena i dopuna </w:t>
      </w:r>
      <w:r w:rsidR="00453A46">
        <w:rPr>
          <w:rFonts w:eastAsiaTheme="minorEastAsia" w:cstheme="minorHAnsi"/>
          <w:lang w:eastAsia="hr-HR"/>
        </w:rPr>
        <w:t xml:space="preserve">Pravilnika o porezu na dohodak </w:t>
      </w:r>
      <w:r w:rsidR="00453A46" w:rsidRPr="00055B85">
        <w:rPr>
          <w:rFonts w:cstheme="minorHAnsi"/>
        </w:rPr>
        <w:t>(„Narodne novine“, broj</w:t>
      </w:r>
      <w:r w:rsidR="00453A46">
        <w:rPr>
          <w:rFonts w:eastAsiaTheme="minorEastAsia" w:cstheme="minorHAnsi"/>
          <w:lang w:eastAsia="hr-HR"/>
        </w:rPr>
        <w:t xml:space="preserve"> 16/2025) kojim </w:t>
      </w:r>
      <w:r>
        <w:rPr>
          <w:rFonts w:eastAsiaTheme="minorEastAsia" w:cstheme="minorHAnsi"/>
          <w:lang w:eastAsia="hr-HR"/>
        </w:rPr>
        <w:t xml:space="preserve">je propisana viša stopa neoporezivih primitaka po osnovi naknada, potpora, nagrada, otpremnina i sl. </w:t>
      </w:r>
    </w:p>
    <w:p w14:paraId="74BC1445" w14:textId="77777777" w:rsidR="00ED00EB" w:rsidRDefault="00ED00EB" w:rsidP="00EC71D5">
      <w:pPr>
        <w:spacing w:after="0" w:line="120" w:lineRule="auto"/>
        <w:jc w:val="both"/>
        <w:rPr>
          <w:rFonts w:eastAsiaTheme="minorEastAsia" w:cstheme="minorHAnsi"/>
          <w:lang w:eastAsia="hr-HR"/>
        </w:rPr>
      </w:pPr>
    </w:p>
    <w:p w14:paraId="5273EE04" w14:textId="0854D3C8" w:rsidR="00ED00EB" w:rsidRPr="00254D8E" w:rsidRDefault="00ED00EB" w:rsidP="00ED00EB">
      <w:pPr>
        <w:spacing w:after="0"/>
        <w:jc w:val="both"/>
        <w:rPr>
          <w:rFonts w:eastAsia="Times New Roman" w:cs="Calibri"/>
          <w:lang w:eastAsia="hr-HR"/>
        </w:rPr>
      </w:pPr>
      <w:r>
        <w:rPr>
          <w:rFonts w:eastAsiaTheme="minorEastAsia" w:cstheme="minorHAnsi"/>
          <w:lang w:eastAsia="hr-HR"/>
        </w:rPr>
        <w:lastRenderedPageBreak/>
        <w:t xml:space="preserve">Na povećanje rashoda za zaposlene utjecala je i isplata bruto plaće za period od 2016. do 2019. godine temeljem okončane sudske presude </w:t>
      </w:r>
      <w:proofErr w:type="spellStart"/>
      <w:r>
        <w:rPr>
          <w:rFonts w:eastAsiaTheme="minorEastAsia" w:cstheme="minorHAnsi"/>
          <w:lang w:eastAsia="hr-HR"/>
        </w:rPr>
        <w:t>Pos</w:t>
      </w:r>
      <w:r w:rsidR="009C6F1C">
        <w:rPr>
          <w:rFonts w:eastAsiaTheme="minorEastAsia" w:cstheme="minorHAnsi"/>
          <w:lang w:eastAsia="hr-HR"/>
        </w:rPr>
        <w:t>l</w:t>
      </w:r>
      <w:proofErr w:type="spellEnd"/>
      <w:r w:rsidR="009C6F1C">
        <w:rPr>
          <w:rFonts w:eastAsiaTheme="minorEastAsia" w:cstheme="minorHAnsi"/>
          <w:lang w:eastAsia="hr-HR"/>
        </w:rPr>
        <w:t>. br. Pr-433/2019-57 (ukupan iznos isplaćene plaće sa doprinosima iznosi 111.151,28 eura)</w:t>
      </w:r>
      <w:r w:rsidR="00EC71D5">
        <w:rPr>
          <w:rFonts w:eastAsiaTheme="minorEastAsia" w:cstheme="minorHAnsi"/>
          <w:lang w:eastAsia="hr-HR"/>
        </w:rPr>
        <w:t>.</w:t>
      </w:r>
    </w:p>
    <w:p w14:paraId="3E58ED7D" w14:textId="225AB0A9" w:rsidR="000B3A72" w:rsidRDefault="000B3A72" w:rsidP="00AE7BFC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Materijalni rashodi</w:t>
      </w:r>
    </w:p>
    <w:p w14:paraId="5AD4F558" w14:textId="3E1B079B" w:rsidR="006E5A8B" w:rsidRDefault="006E5A8B" w:rsidP="00AE7BFC">
      <w:pPr>
        <w:widowControl w:val="0"/>
        <w:spacing w:before="120" w:after="120" w:line="240" w:lineRule="auto"/>
        <w:jc w:val="both"/>
        <w:rPr>
          <w:rFonts w:cstheme="minorHAnsi"/>
        </w:rPr>
      </w:pPr>
      <w:r w:rsidRPr="00FF4CD8">
        <w:rPr>
          <w:rFonts w:cstheme="minorHAnsi"/>
        </w:rPr>
        <w:t>Materijalni rashodi</w:t>
      </w:r>
      <w:r w:rsidR="00C757B4">
        <w:rPr>
          <w:rFonts w:cstheme="minorHAnsi"/>
        </w:rPr>
        <w:t xml:space="preserve"> u prvom polugodištu 202</w:t>
      </w:r>
      <w:r w:rsidR="00C87230">
        <w:rPr>
          <w:rFonts w:cstheme="minorHAnsi"/>
        </w:rPr>
        <w:t>5</w:t>
      </w:r>
      <w:r w:rsidR="00C757B4">
        <w:rPr>
          <w:rFonts w:cstheme="minorHAnsi"/>
        </w:rPr>
        <w:t>. godine</w:t>
      </w:r>
      <w:r w:rsidRPr="00CD5B87">
        <w:rPr>
          <w:rFonts w:cstheme="minorHAnsi"/>
        </w:rPr>
        <w:t xml:space="preserve"> iz</w:t>
      </w:r>
      <w:r w:rsidR="00B61CEA">
        <w:rPr>
          <w:rFonts w:cstheme="minorHAnsi"/>
        </w:rPr>
        <w:t xml:space="preserve">vršeni su u iznosu od </w:t>
      </w:r>
      <w:r w:rsidR="003458E2">
        <w:rPr>
          <w:rFonts w:cstheme="minorHAnsi"/>
        </w:rPr>
        <w:t>5.839.743,22</w:t>
      </w:r>
      <w:r w:rsidR="00B61CEA">
        <w:rPr>
          <w:rFonts w:cstheme="minorHAnsi"/>
        </w:rPr>
        <w:t xml:space="preserve"> eur</w:t>
      </w:r>
      <w:r w:rsidR="00453A46">
        <w:rPr>
          <w:rFonts w:cstheme="minorHAnsi"/>
        </w:rPr>
        <w:t>a</w:t>
      </w:r>
      <w:r w:rsidR="00B61CEA">
        <w:rPr>
          <w:rFonts w:cstheme="minorHAnsi"/>
        </w:rPr>
        <w:t xml:space="preserve"> ili </w:t>
      </w:r>
      <w:r w:rsidR="003458E2">
        <w:rPr>
          <w:rFonts w:cstheme="minorHAnsi"/>
        </w:rPr>
        <w:t>42,94</w:t>
      </w:r>
      <w:r>
        <w:rPr>
          <w:rFonts w:cstheme="minorHAnsi"/>
        </w:rPr>
        <w:t xml:space="preserve">% godišnjeg plana, </w:t>
      </w:r>
      <w:r w:rsidR="00AE4D50">
        <w:rPr>
          <w:rFonts w:cstheme="minorHAnsi"/>
        </w:rPr>
        <w:t>te</w:t>
      </w:r>
      <w:r w:rsidR="00B61CEA">
        <w:rPr>
          <w:rFonts w:cstheme="minorHAnsi"/>
        </w:rPr>
        <w:t xml:space="preserve"> za </w:t>
      </w:r>
      <w:r w:rsidR="003458E2">
        <w:rPr>
          <w:rFonts w:cstheme="minorHAnsi"/>
        </w:rPr>
        <w:t>788.982,86</w:t>
      </w:r>
      <w:r w:rsidR="00C757B4">
        <w:rPr>
          <w:rFonts w:cstheme="minorHAnsi"/>
        </w:rPr>
        <w:t xml:space="preserve"> </w:t>
      </w:r>
      <w:r w:rsidR="00D04194">
        <w:rPr>
          <w:rFonts w:cstheme="minorHAnsi"/>
        </w:rPr>
        <w:t>eur</w:t>
      </w:r>
      <w:r w:rsidR="003458E2">
        <w:rPr>
          <w:rFonts w:cstheme="minorHAnsi"/>
        </w:rPr>
        <w:t>a</w:t>
      </w:r>
      <w:r w:rsidR="00AE4D50">
        <w:rPr>
          <w:rFonts w:cstheme="minorHAnsi"/>
        </w:rPr>
        <w:t xml:space="preserve"> ili</w:t>
      </w:r>
      <w:r w:rsidR="00B61CEA">
        <w:rPr>
          <w:rFonts w:cstheme="minorHAnsi"/>
        </w:rPr>
        <w:t xml:space="preserve"> </w:t>
      </w:r>
      <w:r w:rsidR="003458E2">
        <w:rPr>
          <w:rFonts w:cstheme="minorHAnsi"/>
        </w:rPr>
        <w:t>15,62</w:t>
      </w:r>
      <w:r w:rsidRPr="00CD5B87">
        <w:rPr>
          <w:rFonts w:cstheme="minorHAnsi"/>
        </w:rPr>
        <w:t xml:space="preserve">% </w:t>
      </w:r>
      <w:r w:rsidR="003458E2">
        <w:rPr>
          <w:rFonts w:cstheme="minorHAnsi"/>
        </w:rPr>
        <w:t>više</w:t>
      </w:r>
      <w:r w:rsidRPr="00CD5B87">
        <w:rPr>
          <w:rFonts w:cstheme="minorHAnsi"/>
        </w:rPr>
        <w:t xml:space="preserve"> u usporedbi s istim razdobljem prethodne godine.</w:t>
      </w:r>
    </w:p>
    <w:p w14:paraId="321E7069" w14:textId="2AE0DC0A" w:rsidR="006E5A8B" w:rsidRDefault="006E5A8B" w:rsidP="00AE7BFC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</w:t>
      </w:r>
      <w:r w:rsidR="00D04194">
        <w:rPr>
          <w:rFonts w:cstheme="minorHAnsi"/>
        </w:rPr>
        <w:t>T</w:t>
      </w:r>
      <w:r w:rsidR="00657C6A">
        <w:rPr>
          <w:rFonts w:cstheme="minorHAnsi"/>
        </w:rPr>
        <w:t>ablici 6. koja slijedi prikazani su izvršeni</w:t>
      </w:r>
      <w:r w:rsidRPr="00CD5B87">
        <w:rPr>
          <w:rFonts w:cstheme="minorHAnsi"/>
        </w:rPr>
        <w:t xml:space="preserve"> </w:t>
      </w:r>
      <w:r>
        <w:rPr>
          <w:rFonts w:cstheme="minorHAnsi"/>
        </w:rPr>
        <w:t>materijalni</w:t>
      </w:r>
      <w:r w:rsidR="00657C6A">
        <w:rPr>
          <w:rFonts w:cstheme="minorHAnsi"/>
        </w:rPr>
        <w:t xml:space="preserve"> rashodi</w:t>
      </w:r>
      <w:r>
        <w:rPr>
          <w:rFonts w:cstheme="minorHAnsi"/>
        </w:rPr>
        <w:t xml:space="preserve"> </w:t>
      </w:r>
      <w:r w:rsidRPr="00CD5B87">
        <w:rPr>
          <w:rFonts w:cstheme="minorHAnsi"/>
        </w:rPr>
        <w:t>Županijske uprave za ceste</w:t>
      </w:r>
      <w:r w:rsidR="00154FAB">
        <w:rPr>
          <w:rFonts w:cstheme="minorHAnsi"/>
        </w:rPr>
        <w:t xml:space="preserve"> Primorsko-goranske županije u</w:t>
      </w:r>
      <w:r w:rsidR="00C757B4">
        <w:rPr>
          <w:rFonts w:cstheme="minorHAnsi"/>
        </w:rPr>
        <w:t xml:space="preserve"> prvom polugodištu</w:t>
      </w:r>
      <w:r w:rsidR="00154FAB">
        <w:rPr>
          <w:rFonts w:cstheme="minorHAnsi"/>
        </w:rPr>
        <w:t xml:space="preserve"> </w:t>
      </w:r>
      <w:r w:rsidRPr="00CD5B87">
        <w:rPr>
          <w:rFonts w:cstheme="minorHAnsi"/>
        </w:rPr>
        <w:t>202</w:t>
      </w:r>
      <w:r w:rsidR="003458E2">
        <w:rPr>
          <w:rFonts w:cstheme="minorHAnsi"/>
        </w:rPr>
        <w:t>5</w:t>
      </w:r>
      <w:r w:rsidRPr="00CD5B87">
        <w:rPr>
          <w:rFonts w:cstheme="minorHAnsi"/>
        </w:rPr>
        <w:t>. godin</w:t>
      </w:r>
      <w:r w:rsidR="00C757B4">
        <w:rPr>
          <w:rFonts w:cstheme="minorHAnsi"/>
        </w:rPr>
        <w:t>e</w:t>
      </w:r>
      <w:r w:rsidRPr="00CD5B87">
        <w:rPr>
          <w:rFonts w:cstheme="minorHAnsi"/>
        </w:rPr>
        <w:t xml:space="preserve"> s usp</w:t>
      </w:r>
      <w:r>
        <w:rPr>
          <w:rFonts w:cstheme="minorHAnsi"/>
        </w:rPr>
        <w:t>orednim pokazateljima izvršenja</w:t>
      </w:r>
      <w:r w:rsidRPr="00CD5B87">
        <w:rPr>
          <w:rFonts w:cstheme="minorHAnsi"/>
        </w:rPr>
        <w:t xml:space="preserve"> u 202</w:t>
      </w:r>
      <w:r w:rsidR="003458E2">
        <w:rPr>
          <w:rFonts w:cstheme="minorHAnsi"/>
        </w:rPr>
        <w:t>4</w:t>
      </w:r>
      <w:r>
        <w:rPr>
          <w:rFonts w:cstheme="minorHAnsi"/>
        </w:rPr>
        <w:t>. godin</w:t>
      </w:r>
      <w:r w:rsidR="00154FAB">
        <w:rPr>
          <w:rFonts w:cstheme="minorHAnsi"/>
        </w:rPr>
        <w:t>i</w:t>
      </w:r>
      <w:r>
        <w:rPr>
          <w:rFonts w:cstheme="minorHAnsi"/>
        </w:rPr>
        <w:t>.</w:t>
      </w:r>
    </w:p>
    <w:p w14:paraId="3F904E8A" w14:textId="19CA51BA" w:rsidR="00A8104D" w:rsidRPr="00744E94" w:rsidRDefault="00A8104D" w:rsidP="00C4089B">
      <w:pPr>
        <w:pStyle w:val="Opisslike"/>
        <w:keepNext/>
        <w:spacing w:after="120"/>
        <w:ind w:left="964" w:hanging="964"/>
        <w:jc w:val="both"/>
        <w:rPr>
          <w:i w:val="0"/>
          <w:color w:val="222A35" w:themeColor="text2" w:themeShade="80"/>
          <w:sz w:val="22"/>
          <w:szCs w:val="22"/>
        </w:rPr>
      </w:pPr>
      <w:bookmarkStart w:id="38" w:name="_Toc109651260"/>
      <w:bookmarkStart w:id="39" w:name="_Toc204162098"/>
      <w:r w:rsidRPr="00744E94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744E94">
        <w:rPr>
          <w:i w:val="0"/>
          <w:color w:val="222A35" w:themeColor="text2" w:themeShade="80"/>
          <w:sz w:val="22"/>
          <w:szCs w:val="22"/>
        </w:rPr>
        <w:fldChar w:fldCharType="begin"/>
      </w:r>
      <w:r w:rsidRPr="00744E94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744E94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0332D">
        <w:rPr>
          <w:i w:val="0"/>
          <w:noProof/>
          <w:color w:val="222A35" w:themeColor="text2" w:themeShade="80"/>
          <w:sz w:val="22"/>
          <w:szCs w:val="22"/>
        </w:rPr>
        <w:t>6</w:t>
      </w:r>
      <w:r w:rsidRPr="00744E94">
        <w:rPr>
          <w:i w:val="0"/>
          <w:color w:val="222A35" w:themeColor="text2" w:themeShade="80"/>
          <w:sz w:val="22"/>
          <w:szCs w:val="22"/>
        </w:rPr>
        <w:fldChar w:fldCharType="end"/>
      </w:r>
      <w:r w:rsidRPr="00744E94">
        <w:rPr>
          <w:i w:val="0"/>
          <w:color w:val="222A35" w:themeColor="text2" w:themeShade="80"/>
          <w:sz w:val="22"/>
          <w:szCs w:val="22"/>
        </w:rPr>
        <w:t>. Iz</w:t>
      </w:r>
      <w:r w:rsidR="00D10C51" w:rsidRPr="00744E94">
        <w:rPr>
          <w:i w:val="0"/>
          <w:color w:val="222A35" w:themeColor="text2" w:themeShade="80"/>
          <w:sz w:val="22"/>
          <w:szCs w:val="22"/>
        </w:rPr>
        <w:t xml:space="preserve">vršenje materijalnih rashoda u </w:t>
      </w:r>
      <w:r w:rsidR="00C757B4" w:rsidRPr="00744E94">
        <w:rPr>
          <w:i w:val="0"/>
          <w:color w:val="222A35" w:themeColor="text2" w:themeShade="80"/>
          <w:sz w:val="22"/>
          <w:szCs w:val="22"/>
        </w:rPr>
        <w:t xml:space="preserve">prvom polugodištu </w:t>
      </w:r>
      <w:r w:rsidRPr="00744E94">
        <w:rPr>
          <w:i w:val="0"/>
          <w:color w:val="222A35" w:themeColor="text2" w:themeShade="80"/>
          <w:sz w:val="22"/>
          <w:szCs w:val="22"/>
        </w:rPr>
        <w:t>202</w:t>
      </w:r>
      <w:r w:rsidR="002E11A6">
        <w:rPr>
          <w:i w:val="0"/>
          <w:color w:val="222A35" w:themeColor="text2" w:themeShade="80"/>
          <w:sz w:val="22"/>
          <w:szCs w:val="22"/>
        </w:rPr>
        <w:t>5</w:t>
      </w:r>
      <w:r w:rsidR="00D10C51" w:rsidRPr="00744E94">
        <w:rPr>
          <w:i w:val="0"/>
          <w:color w:val="222A35" w:themeColor="text2" w:themeShade="80"/>
          <w:sz w:val="22"/>
          <w:szCs w:val="22"/>
        </w:rPr>
        <w:t>. godin</w:t>
      </w:r>
      <w:r w:rsidR="00C757B4" w:rsidRPr="00744E94">
        <w:rPr>
          <w:i w:val="0"/>
          <w:color w:val="222A35" w:themeColor="text2" w:themeShade="80"/>
          <w:sz w:val="22"/>
          <w:szCs w:val="22"/>
        </w:rPr>
        <w:t>e</w:t>
      </w:r>
      <w:r w:rsidRPr="00744E94">
        <w:rPr>
          <w:i w:val="0"/>
          <w:color w:val="222A35" w:themeColor="text2" w:themeShade="80"/>
          <w:sz w:val="22"/>
          <w:szCs w:val="22"/>
        </w:rPr>
        <w:t xml:space="preserve"> s uspore</w:t>
      </w:r>
      <w:r w:rsidR="00D10C51" w:rsidRPr="00744E94">
        <w:rPr>
          <w:i w:val="0"/>
          <w:color w:val="222A35" w:themeColor="text2" w:themeShade="80"/>
          <w:sz w:val="22"/>
          <w:szCs w:val="22"/>
        </w:rPr>
        <w:t xml:space="preserve">dnim pokazateljima izvršenja u </w:t>
      </w:r>
      <w:r w:rsidR="00C757B4" w:rsidRPr="00744E94">
        <w:rPr>
          <w:i w:val="0"/>
          <w:color w:val="222A35" w:themeColor="text2" w:themeShade="80"/>
          <w:sz w:val="22"/>
          <w:szCs w:val="22"/>
        </w:rPr>
        <w:t xml:space="preserve">istom razdoblju </w:t>
      </w:r>
      <w:r w:rsidRPr="00744E94">
        <w:rPr>
          <w:i w:val="0"/>
          <w:color w:val="222A35" w:themeColor="text2" w:themeShade="80"/>
          <w:sz w:val="22"/>
          <w:szCs w:val="22"/>
        </w:rPr>
        <w:t>202</w:t>
      </w:r>
      <w:r w:rsidR="002E11A6">
        <w:rPr>
          <w:i w:val="0"/>
          <w:color w:val="222A35" w:themeColor="text2" w:themeShade="80"/>
          <w:sz w:val="22"/>
          <w:szCs w:val="22"/>
        </w:rPr>
        <w:t>4</w:t>
      </w:r>
      <w:r w:rsidRPr="00744E94">
        <w:rPr>
          <w:i w:val="0"/>
          <w:color w:val="222A35" w:themeColor="text2" w:themeShade="80"/>
          <w:sz w:val="22"/>
          <w:szCs w:val="22"/>
        </w:rPr>
        <w:t>. godin</w:t>
      </w:r>
      <w:bookmarkEnd w:id="38"/>
      <w:r w:rsidR="00C757B4" w:rsidRPr="00744E94">
        <w:rPr>
          <w:i w:val="0"/>
          <w:color w:val="222A35" w:themeColor="text2" w:themeShade="80"/>
          <w:sz w:val="22"/>
          <w:szCs w:val="22"/>
        </w:rPr>
        <w:t>e</w:t>
      </w:r>
      <w:bookmarkEnd w:id="39"/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1180"/>
        <w:gridCol w:w="1271"/>
        <w:gridCol w:w="1180"/>
        <w:gridCol w:w="764"/>
        <w:gridCol w:w="708"/>
      </w:tblGrid>
      <w:tr w:rsidR="002E11A6" w:rsidRPr="002E11A6" w14:paraId="416FB5C1" w14:textId="77777777" w:rsidTr="002E11A6">
        <w:trPr>
          <w:trHeight w:val="480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4308F458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992B4ED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I-VI 2024.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C33C396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Izvorni plan </w:t>
            </w: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8E32305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I-VI 2025.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0CC31BE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Indeks </w:t>
            </w: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4./2.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41269C0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Indeks </w:t>
            </w:r>
            <w:r w:rsidRPr="002E1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 xml:space="preserve">4./3. </w:t>
            </w:r>
          </w:p>
        </w:tc>
      </w:tr>
      <w:tr w:rsidR="002E11A6" w:rsidRPr="002E11A6" w14:paraId="0553D352" w14:textId="77777777" w:rsidTr="002E11A6">
        <w:trPr>
          <w:trHeight w:val="240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759C8022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FEC7C16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E61027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AA8DBC8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6B04835C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7305C5B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2E11A6" w:rsidRPr="002E11A6" w14:paraId="0CAF8FCB" w14:textId="77777777" w:rsidTr="00453A46">
        <w:trPr>
          <w:trHeight w:val="283"/>
          <w:jc w:val="center"/>
        </w:trPr>
        <w:tc>
          <w:tcPr>
            <w:tcW w:w="4825" w:type="dxa"/>
            <w:shd w:val="clear" w:color="auto" w:fill="BDD6EE" w:themeFill="accent5" w:themeFillTint="66"/>
            <w:vAlign w:val="center"/>
            <w:hideMark/>
          </w:tcPr>
          <w:p w14:paraId="7BDEB678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80" w:type="dxa"/>
            <w:shd w:val="clear" w:color="auto" w:fill="BDD6EE" w:themeFill="accent5" w:themeFillTint="66"/>
            <w:vAlign w:val="center"/>
            <w:hideMark/>
          </w:tcPr>
          <w:p w14:paraId="2A0B16F3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5.050.760,36</w:t>
            </w:r>
          </w:p>
        </w:tc>
        <w:tc>
          <w:tcPr>
            <w:tcW w:w="1271" w:type="dxa"/>
            <w:shd w:val="clear" w:color="auto" w:fill="BDD6EE" w:themeFill="accent5" w:themeFillTint="66"/>
            <w:vAlign w:val="center"/>
            <w:hideMark/>
          </w:tcPr>
          <w:p w14:paraId="067C3DC6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13.598.481,12</w:t>
            </w:r>
          </w:p>
        </w:tc>
        <w:tc>
          <w:tcPr>
            <w:tcW w:w="1180" w:type="dxa"/>
            <w:shd w:val="clear" w:color="auto" w:fill="BDD6EE" w:themeFill="accent5" w:themeFillTint="66"/>
            <w:vAlign w:val="center"/>
            <w:hideMark/>
          </w:tcPr>
          <w:p w14:paraId="675A9212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5.839.743,22</w:t>
            </w:r>
          </w:p>
        </w:tc>
        <w:tc>
          <w:tcPr>
            <w:tcW w:w="764" w:type="dxa"/>
            <w:shd w:val="clear" w:color="auto" w:fill="BDD6EE" w:themeFill="accent5" w:themeFillTint="66"/>
            <w:vAlign w:val="center"/>
            <w:hideMark/>
          </w:tcPr>
          <w:p w14:paraId="18A29EC6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115,62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  <w:hideMark/>
          </w:tcPr>
          <w:p w14:paraId="31B1CA6D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42,94</w:t>
            </w:r>
          </w:p>
        </w:tc>
      </w:tr>
      <w:tr w:rsidR="002E11A6" w:rsidRPr="002E11A6" w14:paraId="46DFCF49" w14:textId="77777777" w:rsidTr="00453A46">
        <w:trPr>
          <w:trHeight w:val="283"/>
          <w:jc w:val="center"/>
        </w:trPr>
        <w:tc>
          <w:tcPr>
            <w:tcW w:w="4825" w:type="dxa"/>
            <w:shd w:val="clear" w:color="auto" w:fill="DEEAF6" w:themeFill="accent5" w:themeFillTint="33"/>
            <w:vAlign w:val="center"/>
            <w:hideMark/>
          </w:tcPr>
          <w:p w14:paraId="462C0A34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22905438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12.923,85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  <w:hideMark/>
          </w:tcPr>
          <w:p w14:paraId="15FBAE54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28.600,00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735B9904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14.203,14</w:t>
            </w:r>
          </w:p>
        </w:tc>
        <w:tc>
          <w:tcPr>
            <w:tcW w:w="764" w:type="dxa"/>
            <w:shd w:val="clear" w:color="auto" w:fill="DEEAF6" w:themeFill="accent5" w:themeFillTint="33"/>
            <w:vAlign w:val="center"/>
            <w:hideMark/>
          </w:tcPr>
          <w:p w14:paraId="1C0A19C1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109,90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  <w:hideMark/>
          </w:tcPr>
          <w:p w14:paraId="4A8AB8C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49,66</w:t>
            </w:r>
          </w:p>
        </w:tc>
      </w:tr>
      <w:tr w:rsidR="002E11A6" w:rsidRPr="002E11A6" w14:paraId="3D770411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131FFC50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D1F45E7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3.575,03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3C99BA4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864AB8F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2.227,74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391663A4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62,31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AF96A7D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31,82</w:t>
            </w:r>
          </w:p>
        </w:tc>
      </w:tr>
      <w:tr w:rsidR="002E11A6" w:rsidRPr="002E11A6" w14:paraId="637B533B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19E3E508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6D62A1D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6.698,82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11A7BF0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011AB7D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8.310,40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60EC9347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124,06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DB05D3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56,92</w:t>
            </w:r>
          </w:p>
        </w:tc>
      </w:tr>
      <w:tr w:rsidR="002E11A6" w:rsidRPr="002E11A6" w14:paraId="14C5A6E7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0D34E7B6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1A9EC76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EE13F50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246AEBE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3.665,00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3CAA57DC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138,30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DF96C8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52,36</w:t>
            </w:r>
          </w:p>
        </w:tc>
      </w:tr>
      <w:tr w:rsidR="002E11A6" w:rsidRPr="002E11A6" w14:paraId="37BA506E" w14:textId="77777777" w:rsidTr="00453A46">
        <w:trPr>
          <w:trHeight w:val="283"/>
          <w:jc w:val="center"/>
        </w:trPr>
        <w:tc>
          <w:tcPr>
            <w:tcW w:w="4825" w:type="dxa"/>
            <w:shd w:val="clear" w:color="auto" w:fill="DEEAF6" w:themeFill="accent5" w:themeFillTint="33"/>
            <w:vAlign w:val="center"/>
            <w:hideMark/>
          </w:tcPr>
          <w:p w14:paraId="7DA0AB61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17DBA2AD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11.265,28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  <w:hideMark/>
          </w:tcPr>
          <w:p w14:paraId="5FFC72D4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72CE20C1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9.827,73</w:t>
            </w:r>
          </w:p>
        </w:tc>
        <w:tc>
          <w:tcPr>
            <w:tcW w:w="764" w:type="dxa"/>
            <w:shd w:val="clear" w:color="auto" w:fill="DEEAF6" w:themeFill="accent5" w:themeFillTint="33"/>
            <w:vAlign w:val="center"/>
            <w:hideMark/>
          </w:tcPr>
          <w:p w14:paraId="68CB81F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87,24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  <w:hideMark/>
          </w:tcPr>
          <w:p w14:paraId="62462305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26,93</w:t>
            </w:r>
          </w:p>
        </w:tc>
      </w:tr>
      <w:tr w:rsidR="002E11A6" w:rsidRPr="002E11A6" w14:paraId="3A71CABE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01AC6F18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F2EAB1C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3.467,06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C671E46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B0150C0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3.394,20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6C83B01C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30824A0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23,57</w:t>
            </w:r>
          </w:p>
        </w:tc>
      </w:tr>
      <w:tr w:rsidR="002E11A6" w:rsidRPr="002E11A6" w14:paraId="7C7BFDA7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3A7BB2D7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688B773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6.546,98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5F28C59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4FEF671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6.199,46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34412B2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94,69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321A321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33,33</w:t>
            </w:r>
          </w:p>
        </w:tc>
      </w:tr>
      <w:tr w:rsidR="002E11A6" w:rsidRPr="002E11A6" w14:paraId="402E3BD3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3BBEF99D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87ABEF3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7FC2BA0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0224734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2,79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6E128AED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8689BCF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0,56</w:t>
            </w:r>
          </w:p>
        </w:tc>
      </w:tr>
      <w:tr w:rsidR="002E11A6" w:rsidRPr="002E11A6" w14:paraId="5E79BDF7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48B9EF82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3225 Sitni inventar i </w:t>
            </w:r>
            <w:proofErr w:type="spellStart"/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026309C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1.251,24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423971A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468B6C3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231,28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10380320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18,48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FDCA383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7,71</w:t>
            </w:r>
          </w:p>
        </w:tc>
      </w:tr>
      <w:tr w:rsidR="002E11A6" w:rsidRPr="002E11A6" w14:paraId="1C9D5A0D" w14:textId="77777777" w:rsidTr="00453A46">
        <w:trPr>
          <w:trHeight w:val="283"/>
          <w:jc w:val="center"/>
        </w:trPr>
        <w:tc>
          <w:tcPr>
            <w:tcW w:w="4825" w:type="dxa"/>
            <w:shd w:val="clear" w:color="auto" w:fill="DEEAF6" w:themeFill="accent5" w:themeFillTint="33"/>
            <w:vAlign w:val="center"/>
            <w:hideMark/>
          </w:tcPr>
          <w:p w14:paraId="7F79A3B7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788A8E66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4.999.431,91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  <w:hideMark/>
          </w:tcPr>
          <w:p w14:paraId="7685E70C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13.476.224,92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09FDAB47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5.789.605,23</w:t>
            </w:r>
          </w:p>
        </w:tc>
        <w:tc>
          <w:tcPr>
            <w:tcW w:w="764" w:type="dxa"/>
            <w:shd w:val="clear" w:color="auto" w:fill="DEEAF6" w:themeFill="accent5" w:themeFillTint="33"/>
            <w:vAlign w:val="center"/>
            <w:hideMark/>
          </w:tcPr>
          <w:p w14:paraId="63A07644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115,81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  <w:hideMark/>
          </w:tcPr>
          <w:p w14:paraId="1DE606BE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42,96</w:t>
            </w:r>
          </w:p>
        </w:tc>
      </w:tr>
      <w:tr w:rsidR="002E11A6" w:rsidRPr="002E11A6" w14:paraId="3F680C5E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5B9472F2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90AA007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4.712,83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AA1EE2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46FA4FC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5.262,56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3A192C11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111,66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2BC5DD1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47,84</w:t>
            </w:r>
          </w:p>
        </w:tc>
      </w:tr>
      <w:tr w:rsidR="002E11A6" w:rsidRPr="002E11A6" w14:paraId="59ACF2B9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15AF4C4A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32321 Usluge tekućeg i investicijskog održavanja građevinskih objekata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10E7A12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4.761.826,26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36DA71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12.902.153,85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0AFA05B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5.472.493,34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2CA78C3A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114,92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2BB620A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42,42</w:t>
            </w:r>
          </w:p>
        </w:tc>
      </w:tr>
      <w:tr w:rsidR="002E11A6" w:rsidRPr="002E11A6" w14:paraId="316C25FE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5AE87BEC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32322 Usluge tekućeg i investicijskog održavanja postrojenja i opreme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3E6E8F9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4.566,20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C8462EF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11.350,00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DD459CB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7.260,38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46859B0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159,00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E997D64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63,97</w:t>
            </w:r>
          </w:p>
        </w:tc>
      </w:tr>
      <w:tr w:rsidR="002E11A6" w:rsidRPr="002E11A6" w14:paraId="433CAAD8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1CFA51C0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32323 Usluge tekućeg i investicijskog održavanja prijevoznih sredstava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A1EE95F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5.194,75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EEBCB50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6E381D2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4.771,27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70F8333F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91,85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CD2EF8B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59,64</w:t>
            </w:r>
          </w:p>
        </w:tc>
      </w:tr>
      <w:tr w:rsidR="002E11A6" w:rsidRPr="002E11A6" w14:paraId="65D14B03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09730A59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D609EB3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16.109,12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EB4EC81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33.301,07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DE1E28A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16.792,25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7DBC7B28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104,24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2CDA21F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50,43</w:t>
            </w:r>
          </w:p>
        </w:tc>
      </w:tr>
      <w:tr w:rsidR="002E11A6" w:rsidRPr="002E11A6" w14:paraId="661884FE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2937A46F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6ABF0D8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40.432,99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4362FE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D39598E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33.203,17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5C2D67AA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82,12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4EEBEBF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40,00</w:t>
            </w:r>
          </w:p>
        </w:tc>
      </w:tr>
      <w:tr w:rsidR="002E11A6" w:rsidRPr="002E11A6" w14:paraId="43EC863E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55B2FBC8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E721CFE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4.365,63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ACF2759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16.595,00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8254A76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12.149,01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59A6757F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278,29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1F660CD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73,21</w:t>
            </w:r>
          </w:p>
        </w:tc>
      </w:tr>
      <w:tr w:rsidR="002E11A6" w:rsidRPr="002E11A6" w14:paraId="59E5EB83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63E6D655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9B9649B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8554D19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B7B9A2B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5.851,00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1FD60E2F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1EADB24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97,52</w:t>
            </w:r>
          </w:p>
        </w:tc>
      </w:tr>
      <w:tr w:rsidR="002E11A6" w:rsidRPr="002E11A6" w14:paraId="077B37D3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6488EF1B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449DBF0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17.714,34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0876D10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93.500,00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66FE7C9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82.942,04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3E1BF637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468,22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1C180E8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88,71</w:t>
            </w:r>
          </w:p>
        </w:tc>
      </w:tr>
      <w:tr w:rsidR="002E11A6" w:rsidRPr="002E11A6" w14:paraId="112237C7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1D195094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F34F6B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13.869,81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DE97FC1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1D6EEA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15.621,92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0D8E207D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112,63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0810825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47,34</w:t>
            </w:r>
          </w:p>
        </w:tc>
      </w:tr>
      <w:tr w:rsidR="002E11A6" w:rsidRPr="002E11A6" w14:paraId="5D06DF61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68C299F1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C98ABCA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130.639,98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80313D0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278.325,00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91BEB9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133.258,29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0F295E84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11BA7F3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47,88</w:t>
            </w:r>
          </w:p>
        </w:tc>
      </w:tr>
      <w:tr w:rsidR="002E11A6" w:rsidRPr="002E11A6" w14:paraId="70110A62" w14:textId="77777777" w:rsidTr="00453A46">
        <w:trPr>
          <w:trHeight w:val="283"/>
          <w:jc w:val="center"/>
        </w:trPr>
        <w:tc>
          <w:tcPr>
            <w:tcW w:w="4825" w:type="dxa"/>
            <w:shd w:val="clear" w:color="auto" w:fill="DEEAF6" w:themeFill="accent5" w:themeFillTint="33"/>
            <w:vAlign w:val="center"/>
            <w:hideMark/>
          </w:tcPr>
          <w:p w14:paraId="6BB47EBA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066E946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27.139,32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  <w:hideMark/>
          </w:tcPr>
          <w:p w14:paraId="5B3F8CAE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57.156,20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3004CC93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26.107,12</w:t>
            </w:r>
          </w:p>
        </w:tc>
        <w:tc>
          <w:tcPr>
            <w:tcW w:w="764" w:type="dxa"/>
            <w:shd w:val="clear" w:color="auto" w:fill="DEEAF6" w:themeFill="accent5" w:themeFillTint="33"/>
            <w:vAlign w:val="center"/>
            <w:hideMark/>
          </w:tcPr>
          <w:p w14:paraId="4328E351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96,20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  <w:hideMark/>
          </w:tcPr>
          <w:p w14:paraId="12A571F2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45,68</w:t>
            </w:r>
          </w:p>
        </w:tc>
      </w:tr>
      <w:tr w:rsidR="002E11A6" w:rsidRPr="002E11A6" w14:paraId="0762F546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58C837A7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40BEACC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3.110,28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83B418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44D41A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3.065,22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22DBFE81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98,55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CBF711A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46,44</w:t>
            </w:r>
          </w:p>
        </w:tc>
      </w:tr>
      <w:tr w:rsidR="002E11A6" w:rsidRPr="002E11A6" w14:paraId="2D7F2261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7A683799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B29D921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5.754,67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F7B73DE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9.756,20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E190449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4.739,53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40C628EE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82,36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D1D0616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48,58</w:t>
            </w:r>
          </w:p>
        </w:tc>
      </w:tr>
      <w:tr w:rsidR="002E11A6" w:rsidRPr="002E11A6" w14:paraId="5F3F36DB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0156B969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713A04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3.354,45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F880EF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6773E98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1.897,82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67A92B07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56,58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E49544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27,11</w:t>
            </w:r>
          </w:p>
        </w:tc>
      </w:tr>
      <w:tr w:rsidR="002E11A6" w:rsidRPr="002E11A6" w14:paraId="5F68AD35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172851A4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0D0D181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9.407,57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01FBEE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52AD0E5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7.605,58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069CDB07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80,85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A8B5C81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84,51</w:t>
            </w:r>
          </w:p>
        </w:tc>
      </w:tr>
      <w:tr w:rsidR="002E11A6" w:rsidRPr="002E11A6" w14:paraId="0F62422E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4DC9BD1E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F691332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2.351,34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D124334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0A8D3CC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1.695,54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37D1EB8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72,11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B45C9FA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28,26</w:t>
            </w:r>
          </w:p>
        </w:tc>
      </w:tr>
      <w:tr w:rsidR="002E11A6" w:rsidRPr="002E11A6" w14:paraId="1F04BB57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4791A7B1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9DB07FE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1.464,04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2CE7B2F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14.800,00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65880BB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5.513,57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6C4F6AC9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376,60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DC08D97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37,25</w:t>
            </w:r>
          </w:p>
        </w:tc>
      </w:tr>
      <w:tr w:rsidR="002E11A6" w:rsidRPr="002E11A6" w14:paraId="1C05BF2B" w14:textId="77777777" w:rsidTr="00453A46">
        <w:trPr>
          <w:trHeight w:val="283"/>
          <w:jc w:val="center"/>
        </w:trPr>
        <w:tc>
          <w:tcPr>
            <w:tcW w:w="4825" w:type="dxa"/>
            <w:shd w:val="clear" w:color="000000" w:fill="FFFFFF"/>
            <w:vAlign w:val="center"/>
            <w:hideMark/>
          </w:tcPr>
          <w:p w14:paraId="1393B826" w14:textId="77777777" w:rsidR="002E11A6" w:rsidRPr="002E11A6" w:rsidRDefault="002E11A6" w:rsidP="002E1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50C3E7B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1.696,97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1C5C2C2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ACD70A7" w14:textId="77777777" w:rsidR="002E11A6" w:rsidRPr="002E11A6" w:rsidRDefault="002E11A6" w:rsidP="002E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1.589,86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14:paraId="3667B140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93,69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307C462" w14:textId="77777777" w:rsidR="002E11A6" w:rsidRPr="002E11A6" w:rsidRDefault="002E11A6" w:rsidP="002E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E11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39,75</w:t>
            </w:r>
          </w:p>
        </w:tc>
      </w:tr>
    </w:tbl>
    <w:p w14:paraId="479FC557" w14:textId="77777777" w:rsidR="0079376C" w:rsidRDefault="0079376C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8E9887" w14:textId="79803C8C" w:rsidR="000B3A72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lastRenderedPageBreak/>
        <w:t xml:space="preserve">Materijalni rashodi odnose se na rashode </w:t>
      </w:r>
      <w:r w:rsidR="00657C6A">
        <w:rPr>
          <w:rFonts w:cstheme="minorHAnsi"/>
        </w:rPr>
        <w:t xml:space="preserve">za usluge u iznosu od </w:t>
      </w:r>
      <w:r w:rsidR="00E42DBD">
        <w:rPr>
          <w:rFonts w:cstheme="minorHAnsi"/>
        </w:rPr>
        <w:t>5.789.605,23</w:t>
      </w:r>
      <w:r w:rsidR="00766C21">
        <w:rPr>
          <w:rFonts w:cstheme="minorHAnsi"/>
        </w:rPr>
        <w:t xml:space="preserve"> eur</w:t>
      </w:r>
      <w:r w:rsidR="00E42DBD">
        <w:rPr>
          <w:rFonts w:cstheme="minorHAnsi"/>
        </w:rPr>
        <w:t>a</w:t>
      </w:r>
      <w:r w:rsidRPr="00CD5B87">
        <w:rPr>
          <w:rFonts w:cstheme="minorHAnsi"/>
        </w:rPr>
        <w:t xml:space="preserve">, </w:t>
      </w:r>
      <w:r w:rsidR="00657C6A" w:rsidRPr="00CD5B87">
        <w:rPr>
          <w:rFonts w:cstheme="minorHAnsi"/>
        </w:rPr>
        <w:t>naknade troškova zaposlenima (prijevoz na posao i s posla, stručno usavršavanje zaposlenika</w:t>
      </w:r>
      <w:r w:rsidR="00657C6A">
        <w:rPr>
          <w:rFonts w:cstheme="minorHAnsi"/>
        </w:rPr>
        <w:t>,</w:t>
      </w:r>
      <w:r w:rsidR="00657C6A" w:rsidRPr="00CD5B87">
        <w:rPr>
          <w:rFonts w:cstheme="minorHAnsi"/>
        </w:rPr>
        <w:t xml:space="preserve"> te dnevnice i troškovi služben</w:t>
      </w:r>
      <w:r w:rsidR="00657C6A">
        <w:rPr>
          <w:rFonts w:cstheme="minorHAnsi"/>
        </w:rPr>
        <w:t xml:space="preserve">og putovanja) u iznosu od </w:t>
      </w:r>
      <w:r w:rsidR="00E42DBD">
        <w:rPr>
          <w:rFonts w:cstheme="minorHAnsi"/>
        </w:rPr>
        <w:t>14.203,14</w:t>
      </w:r>
      <w:r w:rsidR="00766C21">
        <w:rPr>
          <w:rFonts w:cstheme="minorHAnsi"/>
        </w:rPr>
        <w:t xml:space="preserve"> eur</w:t>
      </w:r>
      <w:r w:rsidR="00E42DBD">
        <w:rPr>
          <w:rFonts w:cstheme="minorHAnsi"/>
        </w:rPr>
        <w:t>a</w:t>
      </w:r>
      <w:r w:rsidR="00657C6A">
        <w:rPr>
          <w:rFonts w:cstheme="minorHAnsi"/>
        </w:rPr>
        <w:t xml:space="preserve">, </w:t>
      </w:r>
      <w:r w:rsidR="00F31DB4">
        <w:rPr>
          <w:rFonts w:cstheme="minorHAnsi"/>
        </w:rPr>
        <w:t xml:space="preserve">rashodi </w:t>
      </w:r>
      <w:r w:rsidRPr="00CD5B87">
        <w:rPr>
          <w:rFonts w:cstheme="minorHAnsi"/>
        </w:rPr>
        <w:t>za materija</w:t>
      </w:r>
      <w:r w:rsidR="00657C6A">
        <w:rPr>
          <w:rFonts w:cstheme="minorHAnsi"/>
        </w:rPr>
        <w:t xml:space="preserve">l i energiju u iznosu od </w:t>
      </w:r>
      <w:r w:rsidR="00E42DBD">
        <w:rPr>
          <w:rFonts w:cstheme="minorHAnsi"/>
        </w:rPr>
        <w:t>9.827,73</w:t>
      </w:r>
      <w:r w:rsidR="00766C21">
        <w:rPr>
          <w:rFonts w:cstheme="minorHAnsi"/>
        </w:rPr>
        <w:t xml:space="preserve"> eur</w:t>
      </w:r>
      <w:r w:rsidR="00E42DBD">
        <w:rPr>
          <w:rFonts w:cstheme="minorHAnsi"/>
        </w:rPr>
        <w:t>a</w:t>
      </w:r>
      <w:r w:rsidRPr="00CD5B87">
        <w:rPr>
          <w:rFonts w:cstheme="minorHAnsi"/>
        </w:rPr>
        <w:t>, te ostale rashod</w:t>
      </w:r>
      <w:r w:rsidR="0007331A">
        <w:rPr>
          <w:rFonts w:cstheme="minorHAnsi"/>
        </w:rPr>
        <w:t>e poslovanja u iznosu</w:t>
      </w:r>
      <w:r w:rsidR="00657C6A">
        <w:rPr>
          <w:rFonts w:cstheme="minorHAnsi"/>
        </w:rPr>
        <w:t xml:space="preserve"> od </w:t>
      </w:r>
      <w:r w:rsidR="00B27921">
        <w:rPr>
          <w:rFonts w:cstheme="minorHAnsi"/>
        </w:rPr>
        <w:t>26.107,12</w:t>
      </w:r>
      <w:r w:rsidR="00766C21">
        <w:rPr>
          <w:rFonts w:cstheme="minorHAnsi"/>
        </w:rPr>
        <w:t xml:space="preserve"> eur</w:t>
      </w:r>
      <w:r w:rsidR="00B27921">
        <w:rPr>
          <w:rFonts w:cstheme="minorHAnsi"/>
        </w:rPr>
        <w:t>a</w:t>
      </w:r>
      <w:r w:rsidR="00657C6A">
        <w:rPr>
          <w:rFonts w:cstheme="minorHAnsi"/>
        </w:rPr>
        <w:t>.</w:t>
      </w:r>
    </w:p>
    <w:p w14:paraId="4AD751BE" w14:textId="4A2B4F43" w:rsidR="00643EED" w:rsidRPr="000C6009" w:rsidRDefault="00643EED" w:rsidP="000C6009">
      <w:pPr>
        <w:spacing w:before="120" w:after="120" w:line="240" w:lineRule="auto"/>
        <w:jc w:val="both"/>
        <w:rPr>
          <w:rFonts w:cstheme="minorHAnsi"/>
          <w:b/>
          <w:shd w:val="clear" w:color="auto" w:fill="FFFFFF" w:themeFill="background1"/>
        </w:rPr>
      </w:pPr>
      <w:r w:rsidRPr="000C6009">
        <w:rPr>
          <w:rFonts w:cstheme="minorHAnsi"/>
          <w:b/>
          <w:shd w:val="clear" w:color="auto" w:fill="FFFFFF" w:themeFill="background1"/>
        </w:rPr>
        <w:t xml:space="preserve">Rashodi za usluge </w:t>
      </w:r>
    </w:p>
    <w:p w14:paraId="2DA0540D" w14:textId="3F114522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DA522E">
        <w:rPr>
          <w:rFonts w:cstheme="minorHAnsi"/>
          <w:shd w:val="clear" w:color="auto" w:fill="FFFFFF" w:themeFill="background1"/>
        </w:rPr>
        <w:t>U okviru rashoda za usluge</w:t>
      </w:r>
      <w:r w:rsidRPr="00DA522E">
        <w:rPr>
          <w:rFonts w:cstheme="minorHAnsi"/>
          <w:b/>
          <w:shd w:val="clear" w:color="auto" w:fill="FFFFFF" w:themeFill="background1"/>
        </w:rPr>
        <w:t xml:space="preserve"> </w:t>
      </w:r>
      <w:r w:rsidRPr="00DA522E">
        <w:rPr>
          <w:rFonts w:cstheme="minorHAnsi"/>
          <w:shd w:val="clear" w:color="auto" w:fill="FFFFFF" w:themeFill="background1"/>
        </w:rPr>
        <w:t>vrijednosno su najznačajniji rashodi za usluge tekućeg i investicijskog održavanja cesta koji su</w:t>
      </w:r>
      <w:r w:rsidR="0007331A" w:rsidRPr="00DA522E">
        <w:rPr>
          <w:rFonts w:cstheme="minorHAnsi"/>
          <w:shd w:val="clear" w:color="auto" w:fill="FFFFFF" w:themeFill="background1"/>
        </w:rPr>
        <w:t xml:space="preserve"> izvršeni u iznosu </w:t>
      </w:r>
      <w:r w:rsidR="00766C21">
        <w:rPr>
          <w:rFonts w:cstheme="minorHAnsi"/>
          <w:shd w:val="clear" w:color="auto" w:fill="FFFFFF" w:themeFill="background1"/>
        </w:rPr>
        <w:t xml:space="preserve">od </w:t>
      </w:r>
      <w:r w:rsidR="00FD334A" w:rsidRPr="00FD334A">
        <w:rPr>
          <w:rFonts w:ascii="Calibri" w:eastAsia="Times New Roman" w:hAnsi="Calibri" w:cs="Calibri"/>
          <w:color w:val="000000"/>
          <w:lang w:eastAsia="hr-HR"/>
        </w:rPr>
        <w:t>5.472.493,34</w:t>
      </w:r>
      <w:r w:rsidR="00FD334A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154FAB" w:rsidRPr="00FD334A">
        <w:rPr>
          <w:rFonts w:cstheme="minorHAnsi"/>
          <w:shd w:val="clear" w:color="auto" w:fill="FFFFFF" w:themeFill="background1"/>
        </w:rPr>
        <w:t>eur</w:t>
      </w:r>
      <w:r w:rsidR="00FD334A">
        <w:rPr>
          <w:rFonts w:cstheme="minorHAnsi"/>
          <w:shd w:val="clear" w:color="auto" w:fill="FFFFFF" w:themeFill="background1"/>
        </w:rPr>
        <w:t>a</w:t>
      </w:r>
      <w:r w:rsidR="00657C6A">
        <w:rPr>
          <w:rFonts w:cstheme="minorHAnsi"/>
          <w:shd w:val="clear" w:color="auto" w:fill="FFFFFF" w:themeFill="background1"/>
        </w:rPr>
        <w:t xml:space="preserve">, što čini </w:t>
      </w:r>
      <w:r w:rsidR="00FD334A">
        <w:rPr>
          <w:rFonts w:cstheme="minorHAnsi"/>
          <w:shd w:val="clear" w:color="auto" w:fill="FFFFFF" w:themeFill="background1"/>
        </w:rPr>
        <w:t>94,52</w:t>
      </w:r>
      <w:r w:rsidRPr="00DA522E">
        <w:rPr>
          <w:rFonts w:cstheme="minorHAnsi"/>
          <w:shd w:val="clear" w:color="auto" w:fill="FFFFFF" w:themeFill="background1"/>
        </w:rPr>
        <w:t xml:space="preserve">% ukupnih rashoda za usluge, </w:t>
      </w:r>
      <w:r w:rsidR="0079376C">
        <w:rPr>
          <w:rFonts w:cstheme="minorHAnsi"/>
          <w:shd w:val="clear" w:color="auto" w:fill="FFFFFF" w:themeFill="background1"/>
        </w:rPr>
        <w:t>dok su ostali</w:t>
      </w:r>
      <w:r w:rsidR="000B69F8">
        <w:rPr>
          <w:rFonts w:cstheme="minorHAnsi"/>
        </w:rPr>
        <w:t xml:space="preserve"> rashodi za usluge </w:t>
      </w:r>
      <w:r w:rsidRPr="00CD5B87">
        <w:rPr>
          <w:rFonts w:cstheme="minorHAnsi"/>
        </w:rPr>
        <w:t>(</w:t>
      </w:r>
      <w:r w:rsidR="00500885">
        <w:rPr>
          <w:rFonts w:cstheme="minorHAnsi"/>
        </w:rPr>
        <w:t>usluge tekućeg i investicijskog održavanja</w:t>
      </w:r>
      <w:r w:rsidR="0079376C">
        <w:rPr>
          <w:rFonts w:cstheme="minorHAnsi"/>
        </w:rPr>
        <w:t xml:space="preserve"> postrojenja, opreme i prijevoznih sredstava</w:t>
      </w:r>
      <w:r w:rsidR="00500885">
        <w:rPr>
          <w:rFonts w:cstheme="minorHAnsi"/>
        </w:rPr>
        <w:t xml:space="preserve">, </w:t>
      </w:r>
      <w:r w:rsidR="0040630D">
        <w:rPr>
          <w:rFonts w:cstheme="minorHAnsi"/>
        </w:rPr>
        <w:t>usluge telefona, pošte i prijevoza, usluge promidžbe i informiranja, komunalne usluge, zakupnine i najamnine, zdravstvene usluge, intelektualne i osobne usluge, računalne i ostale usluge</w:t>
      </w:r>
      <w:r w:rsidR="0007331A">
        <w:rPr>
          <w:rFonts w:cstheme="minorHAnsi"/>
        </w:rPr>
        <w:t xml:space="preserve">) izvršeni u iznosu </w:t>
      </w:r>
      <w:r w:rsidR="00657C6A">
        <w:rPr>
          <w:rFonts w:cstheme="minorHAnsi"/>
        </w:rPr>
        <w:t xml:space="preserve">od </w:t>
      </w:r>
      <w:r w:rsidR="00C1631C">
        <w:rPr>
          <w:rFonts w:cstheme="minorHAnsi"/>
        </w:rPr>
        <w:t>317.111,89</w:t>
      </w:r>
      <w:r w:rsidR="00154FAB">
        <w:rPr>
          <w:rFonts w:cstheme="minorHAnsi"/>
        </w:rPr>
        <w:t xml:space="preserve"> eur</w:t>
      </w:r>
      <w:r w:rsidR="00C1631C">
        <w:rPr>
          <w:rFonts w:cstheme="minorHAnsi"/>
        </w:rPr>
        <w:t>a</w:t>
      </w:r>
      <w:r w:rsidR="00657C6A">
        <w:rPr>
          <w:rFonts w:cstheme="minorHAnsi"/>
        </w:rPr>
        <w:t xml:space="preserve"> i čine </w:t>
      </w:r>
      <w:r w:rsidR="00C1631C">
        <w:rPr>
          <w:rFonts w:cstheme="minorHAnsi"/>
        </w:rPr>
        <w:t>5,48</w:t>
      </w:r>
      <w:r w:rsidRPr="00CD5B87">
        <w:rPr>
          <w:rFonts w:cstheme="minorHAnsi"/>
        </w:rPr>
        <w:t>% ukupnih rashoda za usluge.</w:t>
      </w:r>
    </w:p>
    <w:p w14:paraId="7DE73F09" w14:textId="453E141D" w:rsidR="000B3A72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za usluge tekućeg i investicijskog održavanja cesta obuhvaćaju rashode re</w:t>
      </w:r>
      <w:r w:rsidR="00BE6EDC">
        <w:rPr>
          <w:rFonts w:cstheme="minorHAnsi"/>
        </w:rPr>
        <w:t>dovitog i izvanrednog održavanja</w:t>
      </w:r>
      <w:r w:rsidR="00643EED">
        <w:rPr>
          <w:rFonts w:cstheme="minorHAnsi"/>
        </w:rPr>
        <w:t xml:space="preserve"> županijskih i lokalnih cesta.</w:t>
      </w:r>
    </w:p>
    <w:p w14:paraId="2C868AFF" w14:textId="41A350D3" w:rsidR="00D003CF" w:rsidRDefault="00D003CF" w:rsidP="005C780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Tablici 7. koja slijedi prikazani su izvršeni</w:t>
      </w:r>
      <w:r w:rsidRPr="00CD5B87">
        <w:rPr>
          <w:rFonts w:cstheme="minorHAnsi"/>
        </w:rPr>
        <w:t xml:space="preserve"> </w:t>
      </w:r>
      <w:r>
        <w:rPr>
          <w:rFonts w:cstheme="minorHAnsi"/>
        </w:rPr>
        <w:t>rashodi za usluge redovitog i izvanrednog</w:t>
      </w:r>
      <w:r w:rsidR="00453A46">
        <w:rPr>
          <w:rFonts w:cstheme="minorHAnsi"/>
        </w:rPr>
        <w:t xml:space="preserve"> održavanja </w:t>
      </w:r>
      <w:r w:rsidRPr="00CD5B87">
        <w:rPr>
          <w:rFonts w:cstheme="minorHAnsi"/>
        </w:rPr>
        <w:t>Županijske uprave za ceste</w:t>
      </w:r>
      <w:r>
        <w:rPr>
          <w:rFonts w:cstheme="minorHAnsi"/>
        </w:rPr>
        <w:t xml:space="preserve"> Primorsko-goranske županije u prvom polugodištu </w:t>
      </w:r>
      <w:r w:rsidRPr="00CD5B87">
        <w:rPr>
          <w:rFonts w:cstheme="minorHAnsi"/>
        </w:rPr>
        <w:t>202</w:t>
      </w:r>
      <w:r w:rsidR="00C1631C">
        <w:rPr>
          <w:rFonts w:cstheme="minorHAnsi"/>
        </w:rPr>
        <w:t>5</w:t>
      </w:r>
      <w:r w:rsidRPr="00CD5B87">
        <w:rPr>
          <w:rFonts w:cstheme="minorHAnsi"/>
        </w:rPr>
        <w:t>. godin</w:t>
      </w:r>
      <w:r>
        <w:rPr>
          <w:rFonts w:cstheme="minorHAnsi"/>
        </w:rPr>
        <w:t>e</w:t>
      </w:r>
      <w:r w:rsidRPr="00CD5B87">
        <w:rPr>
          <w:rFonts w:cstheme="minorHAnsi"/>
        </w:rPr>
        <w:t xml:space="preserve"> s usp</w:t>
      </w:r>
      <w:r>
        <w:rPr>
          <w:rFonts w:cstheme="minorHAnsi"/>
        </w:rPr>
        <w:t>orednim pokazateljima izvršenja</w:t>
      </w:r>
      <w:r w:rsidRPr="00CD5B87">
        <w:rPr>
          <w:rFonts w:cstheme="minorHAnsi"/>
        </w:rPr>
        <w:t xml:space="preserve"> u 202</w:t>
      </w:r>
      <w:r w:rsidR="00C1631C">
        <w:rPr>
          <w:rFonts w:cstheme="minorHAnsi"/>
        </w:rPr>
        <w:t>4</w:t>
      </w:r>
      <w:r>
        <w:rPr>
          <w:rFonts w:cstheme="minorHAnsi"/>
        </w:rPr>
        <w:t>. godini.</w:t>
      </w:r>
    </w:p>
    <w:p w14:paraId="5BC4CC27" w14:textId="745FDB99" w:rsidR="00886FB6" w:rsidRPr="00D272C8" w:rsidRDefault="00886FB6" w:rsidP="00D272C8">
      <w:pPr>
        <w:pStyle w:val="Opisslike"/>
        <w:keepNext/>
        <w:ind w:left="907" w:hanging="907"/>
        <w:rPr>
          <w:i w:val="0"/>
          <w:color w:val="222A35" w:themeColor="text2" w:themeShade="80"/>
          <w:sz w:val="22"/>
          <w:szCs w:val="22"/>
        </w:rPr>
      </w:pPr>
      <w:bookmarkStart w:id="40" w:name="_Toc204162099"/>
      <w:r w:rsidRPr="00D272C8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D272C8">
        <w:rPr>
          <w:i w:val="0"/>
          <w:color w:val="222A35" w:themeColor="text2" w:themeShade="80"/>
          <w:sz w:val="22"/>
          <w:szCs w:val="22"/>
        </w:rPr>
        <w:fldChar w:fldCharType="begin"/>
      </w:r>
      <w:r w:rsidRPr="00D272C8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D272C8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0332D">
        <w:rPr>
          <w:i w:val="0"/>
          <w:noProof/>
          <w:color w:val="222A35" w:themeColor="text2" w:themeShade="80"/>
          <w:sz w:val="22"/>
          <w:szCs w:val="22"/>
        </w:rPr>
        <w:t>7</w:t>
      </w:r>
      <w:r w:rsidRPr="00D272C8">
        <w:rPr>
          <w:i w:val="0"/>
          <w:color w:val="222A35" w:themeColor="text2" w:themeShade="80"/>
          <w:sz w:val="22"/>
          <w:szCs w:val="22"/>
        </w:rPr>
        <w:fldChar w:fldCharType="end"/>
      </w:r>
      <w:r w:rsidRPr="00D272C8">
        <w:rPr>
          <w:i w:val="0"/>
          <w:color w:val="222A35" w:themeColor="text2" w:themeShade="80"/>
          <w:sz w:val="22"/>
          <w:szCs w:val="22"/>
        </w:rPr>
        <w:t>. Izvršenje rashoda za redovito i izvanredno održavanj</w:t>
      </w:r>
      <w:r w:rsidR="00A8233D">
        <w:rPr>
          <w:i w:val="0"/>
          <w:color w:val="222A35" w:themeColor="text2" w:themeShade="80"/>
          <w:sz w:val="22"/>
          <w:szCs w:val="22"/>
        </w:rPr>
        <w:t>e cesta u prvom polugodištu 2025</w:t>
      </w:r>
      <w:r w:rsidRPr="00D272C8">
        <w:rPr>
          <w:i w:val="0"/>
          <w:color w:val="222A35" w:themeColor="text2" w:themeShade="80"/>
          <w:sz w:val="22"/>
          <w:szCs w:val="22"/>
        </w:rPr>
        <w:t xml:space="preserve">. godine s usporednim pokazateljima </w:t>
      </w:r>
      <w:r w:rsidR="00A8233D">
        <w:rPr>
          <w:i w:val="0"/>
          <w:color w:val="222A35" w:themeColor="text2" w:themeShade="80"/>
          <w:sz w:val="22"/>
          <w:szCs w:val="22"/>
        </w:rPr>
        <w:t>izvršenja u istom razdoblju 2024</w:t>
      </w:r>
      <w:r w:rsidRPr="00D272C8">
        <w:rPr>
          <w:i w:val="0"/>
          <w:color w:val="222A35" w:themeColor="text2" w:themeShade="80"/>
          <w:sz w:val="22"/>
          <w:szCs w:val="22"/>
        </w:rPr>
        <w:t>. godine</w:t>
      </w:r>
      <w:bookmarkEnd w:id="40"/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1531"/>
        <w:gridCol w:w="1531"/>
        <w:gridCol w:w="1531"/>
        <w:gridCol w:w="850"/>
        <w:gridCol w:w="850"/>
      </w:tblGrid>
      <w:tr w:rsidR="00A8233D" w:rsidRPr="00A8233D" w14:paraId="3C5E4C68" w14:textId="77777777" w:rsidTr="00A8233D">
        <w:trPr>
          <w:trHeight w:val="510"/>
          <w:jc w:val="center"/>
        </w:trPr>
        <w:tc>
          <w:tcPr>
            <w:tcW w:w="3549" w:type="dxa"/>
            <w:shd w:val="clear" w:color="000000" w:fill="FFFFFF"/>
            <w:vAlign w:val="center"/>
            <w:hideMark/>
          </w:tcPr>
          <w:p w14:paraId="27582BF4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C9AEE94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Izvršenje </w:t>
            </w: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I-VI 2024.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EBF93C8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Izvorni plan </w:t>
            </w: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6954EC6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Izvršenje </w:t>
            </w: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I-VI 2025.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FBEA14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Indeks </w:t>
            </w: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4./2.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4FEDB0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Indeks </w:t>
            </w:r>
            <w:r w:rsidRPr="00A823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4./3. </w:t>
            </w:r>
          </w:p>
        </w:tc>
      </w:tr>
      <w:tr w:rsidR="00A8233D" w:rsidRPr="00A8233D" w14:paraId="3F83F644" w14:textId="77777777" w:rsidTr="005B28B2">
        <w:trPr>
          <w:trHeight w:val="181"/>
          <w:jc w:val="center"/>
        </w:trPr>
        <w:tc>
          <w:tcPr>
            <w:tcW w:w="3549" w:type="dxa"/>
            <w:shd w:val="clear" w:color="000000" w:fill="FFFFFF"/>
            <w:vAlign w:val="center"/>
            <w:hideMark/>
          </w:tcPr>
          <w:p w14:paraId="08A618F6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7184D69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A5EB041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D9C71CD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5C68430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BCA008C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</w:tr>
      <w:tr w:rsidR="00A8233D" w:rsidRPr="00A8233D" w14:paraId="19673ACC" w14:textId="77777777" w:rsidTr="00A8233D">
        <w:trPr>
          <w:trHeight w:val="340"/>
          <w:jc w:val="center"/>
        </w:trPr>
        <w:tc>
          <w:tcPr>
            <w:tcW w:w="3549" w:type="dxa"/>
            <w:shd w:val="clear" w:color="000000" w:fill="FFFFFF"/>
            <w:vAlign w:val="center"/>
            <w:hideMark/>
          </w:tcPr>
          <w:p w14:paraId="448B6ED6" w14:textId="77777777" w:rsidR="00A8233D" w:rsidRPr="00A8233D" w:rsidRDefault="00A8233D" w:rsidP="00A8233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REDOVITO ODRŽAVANJE CESTA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427E34E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3.091.301,38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947FFD3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6.864.500,00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A2E2F59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3.379.753,32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DB402D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109,33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39C5D4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49,24</w:t>
            </w:r>
          </w:p>
        </w:tc>
      </w:tr>
      <w:tr w:rsidR="00A8233D" w:rsidRPr="00A8233D" w14:paraId="169C4E26" w14:textId="77777777" w:rsidTr="00A8233D">
        <w:trPr>
          <w:trHeight w:val="340"/>
          <w:jc w:val="center"/>
        </w:trPr>
        <w:tc>
          <w:tcPr>
            <w:tcW w:w="3549" w:type="dxa"/>
            <w:shd w:val="clear" w:color="000000" w:fill="FFFFFF"/>
            <w:vAlign w:val="center"/>
            <w:hideMark/>
          </w:tcPr>
          <w:p w14:paraId="2847635A" w14:textId="77777777" w:rsidR="00A8233D" w:rsidRPr="00A8233D" w:rsidRDefault="00A8233D" w:rsidP="00A8233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IZVANREDNO ODRŽAVANJE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5BB32DC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1.670.524,88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99B007C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6.037.653,85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A6E515E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2.092.740,02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5343F18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125,27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0653B30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34,66</w:t>
            </w:r>
          </w:p>
        </w:tc>
      </w:tr>
      <w:tr w:rsidR="00A8233D" w:rsidRPr="00A8233D" w14:paraId="7E985DC4" w14:textId="77777777" w:rsidTr="00A8233D">
        <w:trPr>
          <w:trHeight w:val="340"/>
          <w:jc w:val="center"/>
        </w:trPr>
        <w:tc>
          <w:tcPr>
            <w:tcW w:w="3549" w:type="dxa"/>
            <w:shd w:val="clear" w:color="auto" w:fill="DEEAF6" w:themeFill="accent5" w:themeFillTint="33"/>
            <w:vAlign w:val="center"/>
            <w:hideMark/>
          </w:tcPr>
          <w:p w14:paraId="056EB3A4" w14:textId="77777777" w:rsidR="00A8233D" w:rsidRPr="00A8233D" w:rsidRDefault="00A8233D" w:rsidP="00A8233D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  <w:hideMark/>
          </w:tcPr>
          <w:p w14:paraId="02EE5806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4.761.826,26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  <w:hideMark/>
          </w:tcPr>
          <w:p w14:paraId="0CB38F90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12.902.153,85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  <w:hideMark/>
          </w:tcPr>
          <w:p w14:paraId="5F972F53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5.472.493,34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  <w:hideMark/>
          </w:tcPr>
          <w:p w14:paraId="45FF73D6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114,92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  <w:hideMark/>
          </w:tcPr>
          <w:p w14:paraId="740BAA7C" w14:textId="77777777" w:rsidR="00A8233D" w:rsidRPr="00A8233D" w:rsidRDefault="00A8233D" w:rsidP="00A82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82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42,42</w:t>
            </w:r>
          </w:p>
        </w:tc>
      </w:tr>
    </w:tbl>
    <w:p w14:paraId="22CA604C" w14:textId="42C478CE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U </w:t>
      </w:r>
      <w:r w:rsidR="0040630D">
        <w:rPr>
          <w:rFonts w:cstheme="minorHAnsi"/>
        </w:rPr>
        <w:t xml:space="preserve">prvom polugodištu </w:t>
      </w:r>
      <w:r w:rsidR="000B69F8">
        <w:rPr>
          <w:rFonts w:cstheme="minorHAnsi"/>
        </w:rPr>
        <w:t>202</w:t>
      </w:r>
      <w:r w:rsidR="00C1631C">
        <w:rPr>
          <w:rFonts w:cstheme="minorHAnsi"/>
        </w:rPr>
        <w:t>5</w:t>
      </w:r>
      <w:r w:rsidR="000B69F8">
        <w:rPr>
          <w:rFonts w:cstheme="minorHAnsi"/>
        </w:rPr>
        <w:t>. godin</w:t>
      </w:r>
      <w:r w:rsidR="0040630D">
        <w:rPr>
          <w:rFonts w:cstheme="minorHAnsi"/>
        </w:rPr>
        <w:t>e</w:t>
      </w:r>
      <w:r w:rsidR="000B69F8">
        <w:rPr>
          <w:rFonts w:cstheme="minorHAnsi"/>
        </w:rPr>
        <w:t xml:space="preserve"> za </w:t>
      </w:r>
      <w:r w:rsidRPr="00CD5B87">
        <w:rPr>
          <w:rFonts w:cstheme="minorHAnsi"/>
        </w:rPr>
        <w:t>redovito održavanje županijskih i lokalnih</w:t>
      </w:r>
      <w:r w:rsidR="00766C21">
        <w:rPr>
          <w:rFonts w:cstheme="minorHAnsi"/>
        </w:rPr>
        <w:t xml:space="preserve"> cesta utrošeno je </w:t>
      </w:r>
      <w:r w:rsidR="00C1631C">
        <w:rPr>
          <w:rFonts w:cstheme="minorHAnsi"/>
        </w:rPr>
        <w:t>3.379.753,32</w:t>
      </w:r>
      <w:r w:rsidR="00917E47">
        <w:rPr>
          <w:rFonts w:cstheme="minorHAnsi"/>
        </w:rPr>
        <w:t xml:space="preserve"> </w:t>
      </w:r>
      <w:r w:rsidR="00766C21">
        <w:rPr>
          <w:rFonts w:cstheme="minorHAnsi"/>
        </w:rPr>
        <w:t>eur</w:t>
      </w:r>
      <w:r w:rsidR="00C1631C">
        <w:rPr>
          <w:rFonts w:cstheme="minorHAnsi"/>
        </w:rPr>
        <w:t>a</w:t>
      </w:r>
      <w:r w:rsidR="00A93738">
        <w:rPr>
          <w:rFonts w:cstheme="minorHAnsi"/>
        </w:rPr>
        <w:t xml:space="preserve">, što je </w:t>
      </w:r>
      <w:r w:rsidR="00C1631C">
        <w:rPr>
          <w:rFonts w:cstheme="minorHAnsi"/>
        </w:rPr>
        <w:t>49,24</w:t>
      </w:r>
      <w:r w:rsidRPr="00CD5B87">
        <w:rPr>
          <w:rFonts w:cstheme="minorHAnsi"/>
        </w:rPr>
        <w:t>% godišnjeg pl</w:t>
      </w:r>
      <w:r w:rsidR="00A93738">
        <w:rPr>
          <w:rFonts w:cstheme="minorHAnsi"/>
        </w:rPr>
        <w:t xml:space="preserve">ana, a za izvanredno održavanje </w:t>
      </w:r>
      <w:r w:rsidR="00C1631C">
        <w:rPr>
          <w:rFonts w:cstheme="minorHAnsi"/>
        </w:rPr>
        <w:t xml:space="preserve">2.092.740,02 </w:t>
      </w:r>
      <w:r w:rsidR="00766C21">
        <w:rPr>
          <w:rFonts w:cstheme="minorHAnsi"/>
        </w:rPr>
        <w:t>eur</w:t>
      </w:r>
      <w:r w:rsidR="00C1631C">
        <w:rPr>
          <w:rFonts w:cstheme="minorHAnsi"/>
        </w:rPr>
        <w:t>a</w:t>
      </w:r>
      <w:r w:rsidR="00A93738">
        <w:rPr>
          <w:rFonts w:cstheme="minorHAnsi"/>
        </w:rPr>
        <w:t xml:space="preserve">, što je </w:t>
      </w:r>
      <w:r w:rsidR="00C1631C">
        <w:rPr>
          <w:rFonts w:cstheme="minorHAnsi"/>
        </w:rPr>
        <w:t>34,66</w:t>
      </w:r>
      <w:r w:rsidR="00643EED">
        <w:rPr>
          <w:rFonts w:cstheme="minorHAnsi"/>
        </w:rPr>
        <w:t>% godišnjeg plana.</w:t>
      </w:r>
    </w:p>
    <w:p w14:paraId="7C58F3CD" w14:textId="27F457F0" w:rsidR="00D003CF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U usporedbi s </w:t>
      </w:r>
      <w:r w:rsidR="00DA6563">
        <w:rPr>
          <w:rFonts w:cstheme="minorHAnsi"/>
        </w:rPr>
        <w:t>prvim polugodištem 202</w:t>
      </w:r>
      <w:r w:rsidR="00C1631C">
        <w:rPr>
          <w:rFonts w:cstheme="minorHAnsi"/>
        </w:rPr>
        <w:t>4</w:t>
      </w:r>
      <w:r w:rsidR="00DA6563">
        <w:rPr>
          <w:rFonts w:cstheme="minorHAnsi"/>
        </w:rPr>
        <w:t>. godine</w:t>
      </w:r>
      <w:r w:rsidRPr="00CD5B87">
        <w:rPr>
          <w:rFonts w:cstheme="minorHAnsi"/>
        </w:rPr>
        <w:t xml:space="preserve"> rashodi za redovito </w:t>
      </w:r>
      <w:r w:rsidR="001A2CE1">
        <w:rPr>
          <w:rFonts w:cstheme="minorHAnsi"/>
        </w:rPr>
        <w:t xml:space="preserve">održavanje cesta </w:t>
      </w:r>
      <w:r w:rsidR="00C1631C">
        <w:rPr>
          <w:rFonts w:cstheme="minorHAnsi"/>
        </w:rPr>
        <w:t>veći</w:t>
      </w:r>
      <w:r w:rsidR="001A2CE1">
        <w:rPr>
          <w:rFonts w:cstheme="minorHAnsi"/>
        </w:rPr>
        <w:t xml:space="preserve"> su za </w:t>
      </w:r>
      <w:r w:rsidR="00C1631C">
        <w:rPr>
          <w:rFonts w:cstheme="minorHAnsi"/>
        </w:rPr>
        <w:t>288.451,94</w:t>
      </w:r>
      <w:r w:rsidR="00DA6563">
        <w:rPr>
          <w:rFonts w:cstheme="minorHAnsi"/>
        </w:rPr>
        <w:t xml:space="preserve"> </w:t>
      </w:r>
      <w:r w:rsidR="005215BC">
        <w:rPr>
          <w:rFonts w:cstheme="minorHAnsi"/>
        </w:rPr>
        <w:t>eur</w:t>
      </w:r>
      <w:r w:rsidR="00C1631C">
        <w:rPr>
          <w:rFonts w:cstheme="minorHAnsi"/>
        </w:rPr>
        <w:t>a</w:t>
      </w:r>
      <w:r w:rsidR="00A93738">
        <w:rPr>
          <w:rFonts w:cstheme="minorHAnsi"/>
        </w:rPr>
        <w:t xml:space="preserve"> ili </w:t>
      </w:r>
      <w:r w:rsidR="00C1631C">
        <w:rPr>
          <w:rFonts w:cstheme="minorHAnsi"/>
        </w:rPr>
        <w:t>9,33</w:t>
      </w:r>
      <w:r w:rsidR="00046E48">
        <w:rPr>
          <w:rFonts w:cstheme="minorHAnsi"/>
        </w:rPr>
        <w:t xml:space="preserve">%, </w:t>
      </w:r>
      <w:r w:rsidRPr="00CD5B87">
        <w:rPr>
          <w:rFonts w:cstheme="minorHAnsi"/>
        </w:rPr>
        <w:t>a rasho</w:t>
      </w:r>
      <w:r w:rsidR="001A2CE1">
        <w:rPr>
          <w:rFonts w:cstheme="minorHAnsi"/>
        </w:rPr>
        <w:t>d</w:t>
      </w:r>
      <w:r w:rsidR="009A7BDB">
        <w:rPr>
          <w:rFonts w:cstheme="minorHAnsi"/>
        </w:rPr>
        <w:t xml:space="preserve">i za izvanredno održavanje </w:t>
      </w:r>
      <w:r w:rsidR="00C1631C">
        <w:rPr>
          <w:rFonts w:cstheme="minorHAnsi"/>
        </w:rPr>
        <w:t>veći</w:t>
      </w:r>
      <w:r w:rsidR="009A7BDB">
        <w:rPr>
          <w:rFonts w:cstheme="minorHAnsi"/>
        </w:rPr>
        <w:t xml:space="preserve"> </w:t>
      </w:r>
      <w:r w:rsidR="001A2CE1">
        <w:rPr>
          <w:rFonts w:cstheme="minorHAnsi"/>
        </w:rPr>
        <w:t>su za</w:t>
      </w:r>
      <w:r w:rsidR="00962D2C">
        <w:rPr>
          <w:rFonts w:cstheme="minorHAnsi"/>
        </w:rPr>
        <w:t xml:space="preserve"> </w:t>
      </w:r>
      <w:r w:rsidR="00C1631C">
        <w:rPr>
          <w:rFonts w:cstheme="minorHAnsi"/>
        </w:rPr>
        <w:t>422.215,14</w:t>
      </w:r>
      <w:r w:rsidR="00DA6563">
        <w:rPr>
          <w:rFonts w:cstheme="minorHAnsi"/>
        </w:rPr>
        <w:t xml:space="preserve"> </w:t>
      </w:r>
      <w:r w:rsidR="005215BC">
        <w:rPr>
          <w:rFonts w:cstheme="minorHAnsi"/>
        </w:rPr>
        <w:t>eur</w:t>
      </w:r>
      <w:r w:rsidR="00C1631C">
        <w:rPr>
          <w:rFonts w:cstheme="minorHAnsi"/>
        </w:rPr>
        <w:t>a</w:t>
      </w:r>
      <w:r w:rsidR="009A7BDB">
        <w:rPr>
          <w:rFonts w:cstheme="minorHAnsi"/>
        </w:rPr>
        <w:t xml:space="preserve"> ili </w:t>
      </w:r>
      <w:r w:rsidR="00C1631C">
        <w:rPr>
          <w:rFonts w:cstheme="minorHAnsi"/>
        </w:rPr>
        <w:t>25,27</w:t>
      </w:r>
      <w:r w:rsidR="00D003CF">
        <w:rPr>
          <w:rFonts w:cstheme="minorHAnsi"/>
        </w:rPr>
        <w:t>%.</w:t>
      </w:r>
    </w:p>
    <w:p w14:paraId="42CA641D" w14:textId="7AAA39C5" w:rsidR="00DA6563" w:rsidRPr="000264CF" w:rsidRDefault="00D003CF" w:rsidP="005C7803">
      <w:pPr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0264CF">
        <w:rPr>
          <w:rFonts w:cstheme="minorHAnsi"/>
        </w:rPr>
        <w:t xml:space="preserve">Rashodi za izvanredno održavanje </w:t>
      </w:r>
      <w:r w:rsidR="00C1631C" w:rsidRPr="000264CF">
        <w:rPr>
          <w:rFonts w:cstheme="minorHAnsi"/>
        </w:rPr>
        <w:t>veći</w:t>
      </w:r>
      <w:r w:rsidRPr="000264CF">
        <w:rPr>
          <w:rFonts w:cstheme="minorHAnsi"/>
        </w:rPr>
        <w:t xml:space="preserve"> su u odnosu na </w:t>
      </w:r>
      <w:r w:rsidR="00F40B27" w:rsidRPr="000264CF">
        <w:rPr>
          <w:rFonts w:cstheme="minorHAnsi"/>
        </w:rPr>
        <w:t xml:space="preserve">isto razdoblje prethodne godine </w:t>
      </w:r>
      <w:r w:rsidRPr="000264CF">
        <w:rPr>
          <w:rFonts w:cstheme="minorHAnsi"/>
        </w:rPr>
        <w:t xml:space="preserve">radi izvršenih radova </w:t>
      </w:r>
      <w:r w:rsidR="0095594C">
        <w:rPr>
          <w:rFonts w:cstheme="minorHAnsi"/>
        </w:rPr>
        <w:t xml:space="preserve">u prvom polugodištu 2025. godine </w:t>
      </w:r>
      <w:r w:rsidR="000264CF" w:rsidRPr="000264CF">
        <w:rPr>
          <w:rFonts w:cstheme="minorHAnsi"/>
        </w:rPr>
        <w:t>unutar aktivnosti sanacije cesta/kolnika/zidova</w:t>
      </w:r>
      <w:r w:rsidRPr="000264CF">
        <w:rPr>
          <w:rFonts w:cstheme="minorHAnsi"/>
        </w:rPr>
        <w:t>.</w:t>
      </w:r>
    </w:p>
    <w:p w14:paraId="6779E1BC" w14:textId="4E641376" w:rsidR="000B3A72" w:rsidRPr="00CD5B87" w:rsidRDefault="008E453F" w:rsidP="005C780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Kao što je prethodno navedeno, o</w:t>
      </w:r>
      <w:r w:rsidR="000B3A72" w:rsidRPr="00CD5B87">
        <w:rPr>
          <w:rFonts w:cstheme="minorHAnsi"/>
        </w:rPr>
        <w:t>sim rashoda za održ</w:t>
      </w:r>
      <w:r>
        <w:rPr>
          <w:rFonts w:cstheme="minorHAnsi"/>
        </w:rPr>
        <w:t>avanje cesta, rashode za usluge</w:t>
      </w:r>
      <w:r w:rsidR="00174C2A">
        <w:rPr>
          <w:rFonts w:cstheme="minorHAnsi"/>
        </w:rPr>
        <w:t xml:space="preserve"> čine</w:t>
      </w:r>
      <w:r>
        <w:rPr>
          <w:rFonts w:cstheme="minorHAnsi"/>
        </w:rPr>
        <w:t xml:space="preserve"> rashodi </w:t>
      </w:r>
      <w:r w:rsidR="000B3A72" w:rsidRPr="00CD5B87">
        <w:rPr>
          <w:rFonts w:cstheme="minorHAnsi"/>
        </w:rPr>
        <w:t>za</w:t>
      </w:r>
      <w:r w:rsidR="00D003CF">
        <w:rPr>
          <w:rFonts w:cstheme="minorHAnsi"/>
        </w:rPr>
        <w:t xml:space="preserve"> </w:t>
      </w:r>
      <w:r w:rsidR="0016038C">
        <w:rPr>
          <w:rFonts w:cstheme="minorHAnsi"/>
        </w:rPr>
        <w:t xml:space="preserve">usluge telefona, interneta, pošte i prijevoza, </w:t>
      </w:r>
      <w:r w:rsidR="00D003CF">
        <w:rPr>
          <w:rFonts w:cstheme="minorHAnsi"/>
        </w:rPr>
        <w:t xml:space="preserve">održavanje prijevoznih sredstava, opreme, uredskih prostorija i uređaja, </w:t>
      </w:r>
      <w:r w:rsidR="0016038C">
        <w:rPr>
          <w:rFonts w:cstheme="minorHAnsi"/>
        </w:rPr>
        <w:t xml:space="preserve">promidžbe i informiranja </w:t>
      </w:r>
      <w:r w:rsidR="0016038C" w:rsidRPr="00CD5B87">
        <w:rPr>
          <w:rFonts w:cstheme="minorHAnsi"/>
        </w:rPr>
        <w:t xml:space="preserve">(objava oglasa i poziva u javnim glasilima), </w:t>
      </w:r>
      <w:r w:rsidR="000B3A72" w:rsidRPr="00CD5B87">
        <w:rPr>
          <w:rFonts w:cstheme="minorHAnsi"/>
        </w:rPr>
        <w:t>komunalne usluge (naknada za uređenje voda, komunalna naknada, odvoz smeća, utrošak vode),</w:t>
      </w:r>
      <w:r w:rsidR="0016038C">
        <w:rPr>
          <w:rFonts w:cstheme="minorHAnsi"/>
        </w:rPr>
        <w:t xml:space="preserve"> zakupnine i najamnine, </w:t>
      </w:r>
      <w:r w:rsidR="0016038C" w:rsidRPr="00CD5B87">
        <w:rPr>
          <w:rFonts w:cstheme="minorHAnsi"/>
        </w:rPr>
        <w:t>zdravstvene</w:t>
      </w:r>
      <w:r w:rsidR="0016038C">
        <w:rPr>
          <w:rFonts w:cstheme="minorHAnsi"/>
        </w:rPr>
        <w:t xml:space="preserve"> usluge, </w:t>
      </w:r>
      <w:r w:rsidR="000B3A72" w:rsidRPr="00CD5B87">
        <w:rPr>
          <w:rFonts w:cstheme="minorHAnsi"/>
        </w:rPr>
        <w:t>intelektualne i osobne usluge (usluge pravnog zastupanja, ugovor o djelu, usluge vještačenja, usluge arhiviranja i čuvanja arhivske građe, javnobilježničke i slične usluge),</w:t>
      </w:r>
      <w:r w:rsidR="00F5499F">
        <w:rPr>
          <w:rFonts w:cstheme="minorHAnsi"/>
        </w:rPr>
        <w:t xml:space="preserve"> računalne usluge</w:t>
      </w:r>
      <w:r w:rsidR="000B3A72" w:rsidRPr="00CD5B87">
        <w:rPr>
          <w:rFonts w:cstheme="minorHAnsi"/>
        </w:rPr>
        <w:t xml:space="preserve"> </w:t>
      </w:r>
      <w:r w:rsidR="002521F9">
        <w:rPr>
          <w:rFonts w:cstheme="minorHAnsi"/>
        </w:rPr>
        <w:t>i ostale usluge</w:t>
      </w:r>
      <w:r>
        <w:rPr>
          <w:rFonts w:cstheme="minorHAnsi"/>
        </w:rPr>
        <w:t xml:space="preserve"> vezane za redovno poslovanje i izvršavanje progra</w:t>
      </w:r>
      <w:r w:rsidR="00766C21">
        <w:rPr>
          <w:rFonts w:cstheme="minorHAnsi"/>
        </w:rPr>
        <w:t xml:space="preserve">mskih aktivnosti. U </w:t>
      </w:r>
      <w:r w:rsidR="00DA6563">
        <w:rPr>
          <w:rFonts w:cstheme="minorHAnsi"/>
        </w:rPr>
        <w:t xml:space="preserve">prvom polugodištu </w:t>
      </w:r>
      <w:r w:rsidR="00766C21">
        <w:rPr>
          <w:rFonts w:cstheme="minorHAnsi"/>
        </w:rPr>
        <w:t>202</w:t>
      </w:r>
      <w:r w:rsidR="00C1631C">
        <w:rPr>
          <w:rFonts w:cstheme="minorHAnsi"/>
        </w:rPr>
        <w:t>5</w:t>
      </w:r>
      <w:r w:rsidR="00766C21">
        <w:rPr>
          <w:rFonts w:cstheme="minorHAnsi"/>
        </w:rPr>
        <w:t>. godin</w:t>
      </w:r>
      <w:r w:rsidR="00DA6563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0B3A72" w:rsidRPr="00CD5B87">
        <w:rPr>
          <w:rFonts w:cstheme="minorHAnsi"/>
        </w:rPr>
        <w:t>izvr</w:t>
      </w:r>
      <w:r>
        <w:rPr>
          <w:rFonts w:cstheme="minorHAnsi"/>
        </w:rPr>
        <w:t xml:space="preserve">šeno je </w:t>
      </w:r>
      <w:r w:rsidR="00C1631C">
        <w:rPr>
          <w:rFonts w:cstheme="minorHAnsi"/>
        </w:rPr>
        <w:t>55,24</w:t>
      </w:r>
      <w:r w:rsidR="00174C2A">
        <w:rPr>
          <w:rFonts w:cstheme="minorHAnsi"/>
        </w:rPr>
        <w:t xml:space="preserve">% </w:t>
      </w:r>
      <w:r w:rsidR="00B16397">
        <w:rPr>
          <w:rFonts w:cstheme="minorHAnsi"/>
        </w:rPr>
        <w:t xml:space="preserve">godišnjeg </w:t>
      </w:r>
      <w:r w:rsidR="00174C2A">
        <w:rPr>
          <w:rFonts w:cstheme="minorHAnsi"/>
        </w:rPr>
        <w:t xml:space="preserve">plana </w:t>
      </w:r>
      <w:r>
        <w:rPr>
          <w:rFonts w:cstheme="minorHAnsi"/>
        </w:rPr>
        <w:t>prethodno navedeni</w:t>
      </w:r>
      <w:r w:rsidR="00174C2A">
        <w:rPr>
          <w:rFonts w:cstheme="minorHAnsi"/>
        </w:rPr>
        <w:t>h</w:t>
      </w:r>
      <w:r>
        <w:rPr>
          <w:rFonts w:cstheme="minorHAnsi"/>
        </w:rPr>
        <w:t xml:space="preserve"> </w:t>
      </w:r>
      <w:r w:rsidR="00174C2A">
        <w:rPr>
          <w:rFonts w:cstheme="minorHAnsi"/>
        </w:rPr>
        <w:t>rashoda za usluge</w:t>
      </w:r>
      <w:r w:rsidR="00D9267B">
        <w:rPr>
          <w:rFonts w:cstheme="minorHAnsi"/>
        </w:rPr>
        <w:t xml:space="preserve"> </w:t>
      </w:r>
      <w:r w:rsidR="00174C2A">
        <w:rPr>
          <w:rFonts w:cstheme="minorHAnsi"/>
        </w:rPr>
        <w:t xml:space="preserve">ili </w:t>
      </w:r>
      <w:r w:rsidR="00C1631C">
        <w:rPr>
          <w:rFonts w:cstheme="minorHAnsi"/>
        </w:rPr>
        <w:t>33,46</w:t>
      </w:r>
      <w:r w:rsidR="00174C2A">
        <w:rPr>
          <w:rFonts w:cstheme="minorHAnsi"/>
        </w:rPr>
        <w:t xml:space="preserve">% </w:t>
      </w:r>
      <w:r w:rsidR="00C1631C">
        <w:rPr>
          <w:rFonts w:cstheme="minorHAnsi"/>
        </w:rPr>
        <w:t>više</w:t>
      </w:r>
      <w:r w:rsidR="000B3A72" w:rsidRPr="00CD5B87">
        <w:rPr>
          <w:rFonts w:cstheme="minorHAnsi"/>
        </w:rPr>
        <w:t xml:space="preserve"> u usporedbi s ist</w:t>
      </w:r>
      <w:r w:rsidR="00046E48">
        <w:rPr>
          <w:rFonts w:cstheme="minorHAnsi"/>
        </w:rPr>
        <w:t>im razdobljem prethodne godine.</w:t>
      </w:r>
    </w:p>
    <w:p w14:paraId="3FAFF5FD" w14:textId="741D1D1E" w:rsidR="00030EAB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Značajnije stavke unutar </w:t>
      </w:r>
      <w:r w:rsidR="00030EAB">
        <w:rPr>
          <w:rFonts w:cstheme="minorHAnsi"/>
        </w:rPr>
        <w:t xml:space="preserve">gore navedene </w:t>
      </w:r>
      <w:r w:rsidRPr="00CD5B87">
        <w:rPr>
          <w:rFonts w:cstheme="minorHAnsi"/>
        </w:rPr>
        <w:t xml:space="preserve">skupine rashoda za usluge </w:t>
      </w:r>
      <w:r w:rsidR="006C2028">
        <w:rPr>
          <w:rFonts w:cstheme="minorHAnsi"/>
        </w:rPr>
        <w:t xml:space="preserve">su intelektualne i osobne usluge u iznosu od 82.942,04 eura ili 1,43% ukupnih rashoda za usluge i ostale usluge u iznosu od 133.258,29 eura ili 2,30% ukupnih rashoda za usluge. </w:t>
      </w:r>
    </w:p>
    <w:p w14:paraId="5B4B45F5" w14:textId="01935DB6" w:rsidR="00DB1739" w:rsidRDefault="00DB1739" w:rsidP="005C780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Pr="008C0865">
        <w:rPr>
          <w:rFonts w:cstheme="minorHAnsi"/>
        </w:rPr>
        <w:t>nte</w:t>
      </w:r>
      <w:r>
        <w:rPr>
          <w:rFonts w:cstheme="minorHAnsi"/>
        </w:rPr>
        <w:t xml:space="preserve">lektualne i osobne usluge </w:t>
      </w:r>
      <w:r w:rsidR="00B16397">
        <w:rPr>
          <w:rFonts w:cstheme="minorHAnsi"/>
        </w:rPr>
        <w:t>u prvom polugodištu 202</w:t>
      </w:r>
      <w:r w:rsidR="006C2028">
        <w:rPr>
          <w:rFonts w:cstheme="minorHAnsi"/>
        </w:rPr>
        <w:t>5</w:t>
      </w:r>
      <w:r w:rsidR="00B16397">
        <w:rPr>
          <w:rFonts w:cstheme="minorHAnsi"/>
        </w:rPr>
        <w:t xml:space="preserve">. godine </w:t>
      </w:r>
      <w:r>
        <w:rPr>
          <w:rFonts w:cstheme="minorHAnsi"/>
        </w:rPr>
        <w:t>izv</w:t>
      </w:r>
      <w:r w:rsidR="00D97DDB">
        <w:rPr>
          <w:rFonts w:cstheme="minorHAnsi"/>
        </w:rPr>
        <w:t xml:space="preserve">ršene su u iznosu od </w:t>
      </w:r>
      <w:r w:rsidR="006C2028">
        <w:rPr>
          <w:rFonts w:cstheme="minorHAnsi"/>
        </w:rPr>
        <w:t>82.942,04</w:t>
      </w:r>
      <w:r w:rsidR="002A3C82">
        <w:rPr>
          <w:rFonts w:cstheme="minorHAnsi"/>
        </w:rPr>
        <w:t xml:space="preserve"> eur</w:t>
      </w:r>
      <w:r w:rsidR="006C2028">
        <w:rPr>
          <w:rFonts w:cstheme="minorHAnsi"/>
        </w:rPr>
        <w:t>a</w:t>
      </w:r>
      <w:r w:rsidR="00D97DDB">
        <w:rPr>
          <w:rFonts w:cstheme="minorHAnsi"/>
        </w:rPr>
        <w:t xml:space="preserve">, što je </w:t>
      </w:r>
      <w:r w:rsidR="00DF50F3">
        <w:rPr>
          <w:rFonts w:cstheme="minorHAnsi"/>
        </w:rPr>
        <w:t>88,71</w:t>
      </w:r>
      <w:r w:rsidR="00D97DDB">
        <w:rPr>
          <w:rFonts w:cstheme="minorHAnsi"/>
        </w:rPr>
        <w:t xml:space="preserve">% godišnjeg plana ili </w:t>
      </w:r>
      <w:r w:rsidR="00DF50F3">
        <w:rPr>
          <w:rFonts w:cstheme="minorHAnsi"/>
        </w:rPr>
        <w:t>65.227,70 eura više</w:t>
      </w:r>
      <w:r>
        <w:rPr>
          <w:rFonts w:cstheme="minorHAnsi"/>
        </w:rPr>
        <w:t xml:space="preserve"> u usporedbi </w:t>
      </w:r>
      <w:r w:rsidR="002A3C82">
        <w:rPr>
          <w:rFonts w:cstheme="minorHAnsi"/>
        </w:rPr>
        <w:t xml:space="preserve">s </w:t>
      </w:r>
      <w:r w:rsidR="00B16397">
        <w:rPr>
          <w:rFonts w:cstheme="minorHAnsi"/>
        </w:rPr>
        <w:t xml:space="preserve">istim razdobljem </w:t>
      </w:r>
      <w:r w:rsidR="00CA0D1A">
        <w:rPr>
          <w:rFonts w:cstheme="minorHAnsi"/>
        </w:rPr>
        <w:t>prethodn</w:t>
      </w:r>
      <w:r w:rsidR="00B16397">
        <w:rPr>
          <w:rFonts w:cstheme="minorHAnsi"/>
        </w:rPr>
        <w:t>e</w:t>
      </w:r>
      <w:r w:rsidR="00CA0D1A">
        <w:rPr>
          <w:rFonts w:cstheme="minorHAnsi"/>
        </w:rPr>
        <w:t xml:space="preserve"> godin</w:t>
      </w:r>
      <w:r w:rsidR="00B16397">
        <w:rPr>
          <w:rFonts w:cstheme="minorHAnsi"/>
        </w:rPr>
        <w:t>e</w:t>
      </w:r>
      <w:r w:rsidRPr="008C0865">
        <w:rPr>
          <w:rFonts w:cstheme="minorHAnsi"/>
        </w:rPr>
        <w:t>, a odnose se na usluge pravnog zastupanja vezane za rješavanje</w:t>
      </w:r>
      <w:r>
        <w:rPr>
          <w:rFonts w:cstheme="minorHAnsi"/>
        </w:rPr>
        <w:t xml:space="preserve"> imovinsko pravnih odnosa za otkup i izvlaštenje zemljišta</w:t>
      </w:r>
      <w:r w:rsidR="00CF1E38">
        <w:rPr>
          <w:rFonts w:cstheme="minorHAnsi"/>
        </w:rPr>
        <w:t>,</w:t>
      </w:r>
      <w:r>
        <w:rPr>
          <w:rFonts w:cstheme="minorHAnsi"/>
        </w:rPr>
        <w:t xml:space="preserve"> na </w:t>
      </w:r>
      <w:r w:rsidRPr="00861DCD">
        <w:rPr>
          <w:rFonts w:cstheme="minorHAnsi"/>
        </w:rPr>
        <w:t xml:space="preserve">zastupanje Županijske uprave za ceste Primorsko-goranske županije pri Hrvatskoj agenciji za </w:t>
      </w:r>
      <w:r w:rsidRPr="00861DCD">
        <w:rPr>
          <w:rFonts w:cstheme="minorHAnsi"/>
        </w:rPr>
        <w:lastRenderedPageBreak/>
        <w:t xml:space="preserve">mrežne djelatnosti (HAKOM) u postupku utvrđivanja visine naknade za korištenje cestovnog zemljišta </w:t>
      </w:r>
      <w:r>
        <w:rPr>
          <w:rFonts w:cstheme="minorHAnsi"/>
        </w:rPr>
        <w:t>(</w:t>
      </w:r>
      <w:r w:rsidRPr="00861DCD">
        <w:rPr>
          <w:rFonts w:cstheme="minorHAnsi"/>
        </w:rPr>
        <w:t>na kojem Hrvatski telekom d.d. ima izgrađenu električn</w:t>
      </w:r>
      <w:r>
        <w:rPr>
          <w:rFonts w:cstheme="minorHAnsi"/>
        </w:rPr>
        <w:t>u komunikacijsku infrastrukturu)</w:t>
      </w:r>
      <w:r w:rsidR="00CF1E38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61DCD">
        <w:rPr>
          <w:rFonts w:cstheme="minorHAnsi"/>
        </w:rPr>
        <w:t xml:space="preserve">te usluge arhiviranja i čuvanja arhivske građe. </w:t>
      </w:r>
      <w:r w:rsidR="00DF50F3">
        <w:rPr>
          <w:rFonts w:cstheme="minorHAnsi"/>
        </w:rPr>
        <w:t>Povećanje</w:t>
      </w:r>
      <w:r w:rsidR="00CA0D1A">
        <w:rPr>
          <w:rFonts w:cstheme="minorHAnsi"/>
        </w:rPr>
        <w:t xml:space="preserve"> </w:t>
      </w:r>
      <w:r>
        <w:rPr>
          <w:rFonts w:cstheme="minorHAnsi"/>
        </w:rPr>
        <w:t>rashoda za intelektualne usluge u usporedbi s prethodn</w:t>
      </w:r>
      <w:r w:rsidR="00CF1E38">
        <w:rPr>
          <w:rFonts w:cstheme="minorHAnsi"/>
        </w:rPr>
        <w:t xml:space="preserve">om godinom rezultat </w:t>
      </w:r>
      <w:r w:rsidR="00DF50F3">
        <w:rPr>
          <w:rFonts w:cstheme="minorHAnsi"/>
        </w:rPr>
        <w:t>je izvršenih</w:t>
      </w:r>
      <w:r w:rsidR="00F40B27">
        <w:rPr>
          <w:rFonts w:cstheme="minorHAnsi"/>
        </w:rPr>
        <w:t xml:space="preserve"> </w:t>
      </w:r>
      <w:r w:rsidR="00B16397">
        <w:rPr>
          <w:rFonts w:cstheme="minorHAnsi"/>
        </w:rPr>
        <w:t xml:space="preserve">rashoda za zastupanje </w:t>
      </w:r>
      <w:r w:rsidR="00B16397" w:rsidRPr="00861DCD">
        <w:rPr>
          <w:rFonts w:cstheme="minorHAnsi"/>
        </w:rPr>
        <w:t xml:space="preserve">u postupku utvrđivanja visine naknade za korištenje cestovnog zemljišta </w:t>
      </w:r>
      <w:r w:rsidR="00B16397">
        <w:rPr>
          <w:rFonts w:cstheme="minorHAnsi"/>
        </w:rPr>
        <w:t>(</w:t>
      </w:r>
      <w:r w:rsidR="00B16397" w:rsidRPr="00861DCD">
        <w:rPr>
          <w:rFonts w:cstheme="minorHAnsi"/>
        </w:rPr>
        <w:t>na kojem Hrvatski telekom d.d. ima izgrađenu električn</w:t>
      </w:r>
      <w:r w:rsidR="00B16397">
        <w:rPr>
          <w:rFonts w:cstheme="minorHAnsi"/>
        </w:rPr>
        <w:t xml:space="preserve">u </w:t>
      </w:r>
      <w:r w:rsidR="00B169EE">
        <w:rPr>
          <w:rFonts w:cstheme="minorHAnsi"/>
        </w:rPr>
        <w:t>komunikacijsku infrastrukturu) te izvršenih rashoda za parnični trošak temeljem okončane sudske presude za isplatu bruto plaće u periodu od 2016. do 20</w:t>
      </w:r>
      <w:r w:rsidR="005B28B2">
        <w:rPr>
          <w:rFonts w:cstheme="minorHAnsi"/>
        </w:rPr>
        <w:t xml:space="preserve">19. godine </w:t>
      </w:r>
      <w:r w:rsidR="005B28B2" w:rsidRPr="005B28B2">
        <w:rPr>
          <w:rFonts w:cstheme="minorHAnsi"/>
        </w:rPr>
        <w:t>(vidi str. 19).</w:t>
      </w:r>
    </w:p>
    <w:p w14:paraId="686D4641" w14:textId="6A7A2D72" w:rsidR="000C6009" w:rsidRDefault="00DB1739" w:rsidP="000C6009">
      <w:pPr>
        <w:spacing w:before="120" w:after="120" w:line="240" w:lineRule="auto"/>
        <w:jc w:val="both"/>
        <w:rPr>
          <w:rFonts w:cstheme="minorHAnsi"/>
        </w:rPr>
      </w:pPr>
      <w:r w:rsidRPr="00861DCD">
        <w:rPr>
          <w:rFonts w:cstheme="minorHAnsi"/>
        </w:rPr>
        <w:t>U sklopu skupine rashoda za usluge su i ost</w:t>
      </w:r>
      <w:r>
        <w:rPr>
          <w:rFonts w:cstheme="minorHAnsi"/>
        </w:rPr>
        <w:t>a</w:t>
      </w:r>
      <w:r w:rsidR="00CF1E38">
        <w:rPr>
          <w:rFonts w:cstheme="minorHAnsi"/>
        </w:rPr>
        <w:t xml:space="preserve">le usluge </w:t>
      </w:r>
      <w:r w:rsidR="000134AC">
        <w:rPr>
          <w:rFonts w:cstheme="minorHAnsi"/>
        </w:rPr>
        <w:t>koje su u prvom polugodištu 202</w:t>
      </w:r>
      <w:r w:rsidR="00DF50F3">
        <w:rPr>
          <w:rFonts w:cstheme="minorHAnsi"/>
        </w:rPr>
        <w:t>5</w:t>
      </w:r>
      <w:r w:rsidR="000134AC">
        <w:rPr>
          <w:rFonts w:cstheme="minorHAnsi"/>
        </w:rPr>
        <w:t xml:space="preserve">. godine izvršene </w:t>
      </w:r>
      <w:r w:rsidR="00CF1E38">
        <w:rPr>
          <w:rFonts w:cstheme="minorHAnsi"/>
        </w:rPr>
        <w:t xml:space="preserve">u iznosu od </w:t>
      </w:r>
      <w:r w:rsidR="00DF50F3">
        <w:rPr>
          <w:rFonts w:cstheme="minorHAnsi"/>
        </w:rPr>
        <w:t>133.258,29</w:t>
      </w:r>
      <w:r w:rsidR="002A3C82">
        <w:rPr>
          <w:rFonts w:cstheme="minorHAnsi"/>
        </w:rPr>
        <w:t xml:space="preserve"> eur</w:t>
      </w:r>
      <w:r w:rsidR="00DF50F3">
        <w:rPr>
          <w:rFonts w:cstheme="minorHAnsi"/>
        </w:rPr>
        <w:t>a</w:t>
      </w:r>
      <w:r w:rsidRPr="00861DCD">
        <w:rPr>
          <w:rFonts w:cstheme="minorHAnsi"/>
        </w:rPr>
        <w:t>, a odnose se na rashode za usluge stanica za tehnički preg</w:t>
      </w:r>
      <w:r>
        <w:rPr>
          <w:rFonts w:cstheme="minorHAnsi"/>
        </w:rPr>
        <w:t xml:space="preserve">led vozila u iznosu od </w:t>
      </w:r>
      <w:r w:rsidR="00DF50F3">
        <w:rPr>
          <w:rFonts w:cstheme="minorHAnsi"/>
        </w:rPr>
        <w:t>121.975,25</w:t>
      </w:r>
      <w:r w:rsidR="000032C7">
        <w:rPr>
          <w:rFonts w:cstheme="minorHAnsi"/>
        </w:rPr>
        <w:t xml:space="preserve"> </w:t>
      </w:r>
      <w:r w:rsidR="002A3C82">
        <w:rPr>
          <w:rFonts w:cstheme="minorHAnsi"/>
        </w:rPr>
        <w:t>eur</w:t>
      </w:r>
      <w:r w:rsidR="00DF50F3">
        <w:rPr>
          <w:rFonts w:cstheme="minorHAnsi"/>
        </w:rPr>
        <w:t>a</w:t>
      </w:r>
      <w:r w:rsidR="000C239F">
        <w:rPr>
          <w:rFonts w:cstheme="minorHAnsi"/>
        </w:rPr>
        <w:t>,</w:t>
      </w:r>
      <w:r w:rsidRPr="00861DCD">
        <w:rPr>
          <w:rFonts w:cstheme="minorHAnsi"/>
        </w:rPr>
        <w:t xml:space="preserve"> te rashode za usluge čišćenja prostorija, čuvanja imovine, parkiranja službenih vozila, skladištenje aut</w:t>
      </w:r>
      <w:r>
        <w:rPr>
          <w:rFonts w:cstheme="minorHAnsi"/>
        </w:rPr>
        <w:t xml:space="preserve">o guma i </w:t>
      </w:r>
      <w:r w:rsidR="008E0CAE">
        <w:rPr>
          <w:rFonts w:cstheme="minorHAnsi"/>
        </w:rPr>
        <w:t>sl</w:t>
      </w:r>
      <w:r>
        <w:rPr>
          <w:rFonts w:cstheme="minorHAnsi"/>
        </w:rPr>
        <w:t xml:space="preserve">. u iznosu od </w:t>
      </w:r>
      <w:r w:rsidR="004E38BF">
        <w:rPr>
          <w:rFonts w:cstheme="minorHAnsi"/>
        </w:rPr>
        <w:t>11.283,04</w:t>
      </w:r>
      <w:r w:rsidR="005F027B">
        <w:rPr>
          <w:rFonts w:cstheme="minorHAnsi"/>
        </w:rPr>
        <w:t xml:space="preserve"> </w:t>
      </w:r>
      <w:r w:rsidR="002A3C82">
        <w:rPr>
          <w:rFonts w:cstheme="minorHAnsi"/>
        </w:rPr>
        <w:t>eur</w:t>
      </w:r>
      <w:r w:rsidR="00DF50F3">
        <w:rPr>
          <w:rFonts w:cstheme="minorHAnsi"/>
        </w:rPr>
        <w:t>a</w:t>
      </w:r>
      <w:r>
        <w:rPr>
          <w:rFonts w:cstheme="minorHAnsi"/>
        </w:rPr>
        <w:t>.</w:t>
      </w:r>
      <w:r w:rsidR="00133C69">
        <w:rPr>
          <w:rFonts w:cstheme="minorHAnsi"/>
        </w:rPr>
        <w:t xml:space="preserve"> Rashodi za usluge stanica </w:t>
      </w:r>
      <w:r w:rsidR="00133C69" w:rsidRPr="00861DCD">
        <w:rPr>
          <w:rFonts w:cstheme="minorHAnsi"/>
        </w:rPr>
        <w:t>za tehnički preg</w:t>
      </w:r>
      <w:r w:rsidR="00133C69">
        <w:rPr>
          <w:rFonts w:cstheme="minorHAnsi"/>
        </w:rPr>
        <w:t>led vozila</w:t>
      </w:r>
      <w:r w:rsidR="00012701">
        <w:rPr>
          <w:rFonts w:cstheme="minorHAnsi"/>
        </w:rPr>
        <w:t>,</w:t>
      </w:r>
      <w:r w:rsidR="00133C69">
        <w:rPr>
          <w:rFonts w:cstheme="minorHAnsi"/>
        </w:rPr>
        <w:t xml:space="preserve"> </w:t>
      </w:r>
      <w:r w:rsidR="00012701">
        <w:rPr>
          <w:rFonts w:cstheme="minorHAnsi"/>
        </w:rPr>
        <w:t xml:space="preserve">s kojima su sklopljeni ugovori o raspoređivanju naplaćenih sredstava godišnje naknade, izdavanju potvrda o obračunatoj godišnjoj naknadi i obavljanju drugih poslova koji su s tim povezani, </w:t>
      </w:r>
      <w:r w:rsidR="00133C69">
        <w:rPr>
          <w:rFonts w:cstheme="minorHAnsi"/>
        </w:rPr>
        <w:t xml:space="preserve">povećani su za </w:t>
      </w:r>
      <w:r w:rsidR="004E38BF">
        <w:rPr>
          <w:rFonts w:cstheme="minorHAnsi"/>
        </w:rPr>
        <w:t>5,89</w:t>
      </w:r>
      <w:r w:rsidR="00133C69">
        <w:rPr>
          <w:rFonts w:cstheme="minorHAnsi"/>
        </w:rPr>
        <w:t xml:space="preserve">% </w:t>
      </w:r>
      <w:r w:rsidR="00133C69" w:rsidRPr="00CD5B87">
        <w:rPr>
          <w:rFonts w:cstheme="minorHAnsi"/>
        </w:rPr>
        <w:t>u usporedbi s istim razdobljem prethodne godine</w:t>
      </w:r>
      <w:r w:rsidR="00C9069F">
        <w:rPr>
          <w:rFonts w:cstheme="minorHAnsi"/>
        </w:rPr>
        <w:t xml:space="preserve"> što je rezultat povećanja broja registriranih vozila u </w:t>
      </w:r>
      <w:r w:rsidR="008E0CAE">
        <w:rPr>
          <w:rFonts w:cstheme="minorHAnsi"/>
        </w:rPr>
        <w:t xml:space="preserve">prvom polugodištu </w:t>
      </w:r>
      <w:r w:rsidR="00C9069F">
        <w:rPr>
          <w:rFonts w:cstheme="minorHAnsi"/>
        </w:rPr>
        <w:t>202</w:t>
      </w:r>
      <w:r w:rsidR="004E38BF">
        <w:rPr>
          <w:rFonts w:cstheme="minorHAnsi"/>
        </w:rPr>
        <w:t>5</w:t>
      </w:r>
      <w:r w:rsidR="008E0CAE">
        <w:rPr>
          <w:rFonts w:cstheme="minorHAnsi"/>
        </w:rPr>
        <w:t>. godine.</w:t>
      </w:r>
    </w:p>
    <w:p w14:paraId="230517BD" w14:textId="2A449188" w:rsidR="00C851F9" w:rsidRPr="000C6009" w:rsidRDefault="000B3A72" w:rsidP="000C6009">
      <w:pPr>
        <w:spacing w:before="120" w:after="120" w:line="240" w:lineRule="auto"/>
        <w:jc w:val="both"/>
        <w:rPr>
          <w:rFonts w:cstheme="minorHAnsi"/>
        </w:rPr>
      </w:pPr>
      <w:r w:rsidRPr="000C6009">
        <w:rPr>
          <w:rFonts w:cstheme="minorHAnsi"/>
          <w:b/>
        </w:rPr>
        <w:t xml:space="preserve">Naknade troškova zaposlenima </w:t>
      </w:r>
      <w:r w:rsidR="008E0CAE">
        <w:rPr>
          <w:rFonts w:cstheme="minorHAnsi"/>
        </w:rPr>
        <w:t>u prvom polugodištu 202</w:t>
      </w:r>
      <w:r w:rsidR="004E38BF">
        <w:rPr>
          <w:rFonts w:cstheme="minorHAnsi"/>
        </w:rPr>
        <w:t>5</w:t>
      </w:r>
      <w:r w:rsidR="008E0CAE">
        <w:rPr>
          <w:rFonts w:cstheme="minorHAnsi"/>
        </w:rPr>
        <w:t xml:space="preserve">. godine izvršene su u iznosu od </w:t>
      </w:r>
      <w:r w:rsidR="004E38BF">
        <w:rPr>
          <w:rFonts w:cstheme="minorHAnsi"/>
        </w:rPr>
        <w:t>14.203,14</w:t>
      </w:r>
      <w:r w:rsidR="008E0CAE" w:rsidRPr="00DC225F">
        <w:rPr>
          <w:rFonts w:cstheme="minorHAnsi"/>
        </w:rPr>
        <w:t xml:space="preserve"> </w:t>
      </w:r>
      <w:r w:rsidR="008E0CAE">
        <w:rPr>
          <w:rFonts w:cstheme="minorHAnsi"/>
        </w:rPr>
        <w:t>eur</w:t>
      </w:r>
      <w:r w:rsidR="004E38BF">
        <w:rPr>
          <w:rFonts w:cstheme="minorHAnsi"/>
        </w:rPr>
        <w:t>a</w:t>
      </w:r>
      <w:r w:rsidR="008E0CAE">
        <w:rPr>
          <w:rFonts w:cstheme="minorHAnsi"/>
        </w:rPr>
        <w:t xml:space="preserve"> </w:t>
      </w:r>
      <w:r w:rsidR="000C239F" w:rsidRPr="000C6009">
        <w:rPr>
          <w:rFonts w:cstheme="minorHAnsi"/>
        </w:rPr>
        <w:t xml:space="preserve">ili </w:t>
      </w:r>
      <w:r w:rsidR="004E38BF">
        <w:rPr>
          <w:rFonts w:cstheme="minorHAnsi"/>
        </w:rPr>
        <w:t>49,66</w:t>
      </w:r>
      <w:r w:rsidR="00C851F9" w:rsidRPr="000C6009">
        <w:rPr>
          <w:rFonts w:cstheme="minorHAnsi"/>
        </w:rPr>
        <w:t>% godišnjeg plana</w:t>
      </w:r>
      <w:r w:rsidR="00E01F45" w:rsidRPr="000C6009">
        <w:rPr>
          <w:rFonts w:cstheme="minorHAnsi"/>
        </w:rPr>
        <w:t>,</w:t>
      </w:r>
      <w:r w:rsidR="00C851F9" w:rsidRPr="000C6009">
        <w:rPr>
          <w:rFonts w:cstheme="minorHAnsi"/>
        </w:rPr>
        <w:t xml:space="preserve"> </w:t>
      </w:r>
      <w:r w:rsidR="00372E18">
        <w:rPr>
          <w:rFonts w:cstheme="minorHAnsi"/>
        </w:rPr>
        <w:t>te</w:t>
      </w:r>
      <w:r w:rsidR="00C851F9" w:rsidRPr="000C6009">
        <w:rPr>
          <w:rFonts w:cstheme="minorHAnsi"/>
        </w:rPr>
        <w:t xml:space="preserve"> </w:t>
      </w:r>
      <w:r w:rsidR="000C239F" w:rsidRPr="000C6009">
        <w:rPr>
          <w:rFonts w:cstheme="minorHAnsi"/>
        </w:rPr>
        <w:t xml:space="preserve">za </w:t>
      </w:r>
      <w:r w:rsidR="004E38BF">
        <w:rPr>
          <w:rFonts w:cstheme="minorHAnsi"/>
        </w:rPr>
        <w:t>1.279,29 eura</w:t>
      </w:r>
      <w:r w:rsidRPr="000C6009">
        <w:rPr>
          <w:rFonts w:cstheme="minorHAnsi"/>
        </w:rPr>
        <w:t xml:space="preserve"> više u usporedbi s</w:t>
      </w:r>
      <w:r w:rsidR="008E0CAE">
        <w:rPr>
          <w:rFonts w:cstheme="minorHAnsi"/>
        </w:rPr>
        <w:t xml:space="preserve"> istim razdobljem</w:t>
      </w:r>
      <w:r w:rsidRPr="000C6009">
        <w:rPr>
          <w:rFonts w:cstheme="minorHAnsi"/>
        </w:rPr>
        <w:t xml:space="preserve"> </w:t>
      </w:r>
      <w:r w:rsidR="000C6009">
        <w:rPr>
          <w:rFonts w:cstheme="minorHAnsi"/>
        </w:rPr>
        <w:t>p</w:t>
      </w:r>
      <w:r w:rsidRPr="000C6009">
        <w:rPr>
          <w:rFonts w:cstheme="minorHAnsi"/>
        </w:rPr>
        <w:t>rethodn</w:t>
      </w:r>
      <w:r w:rsidR="008E0CAE">
        <w:rPr>
          <w:rFonts w:cstheme="minorHAnsi"/>
        </w:rPr>
        <w:t>e</w:t>
      </w:r>
      <w:r w:rsidRPr="000C6009">
        <w:rPr>
          <w:rFonts w:cstheme="minorHAnsi"/>
        </w:rPr>
        <w:t xml:space="preserve"> godin</w:t>
      </w:r>
      <w:r w:rsidR="008E0CAE">
        <w:rPr>
          <w:rFonts w:cstheme="minorHAnsi"/>
        </w:rPr>
        <w:t>e</w:t>
      </w:r>
      <w:r w:rsidRPr="000C6009">
        <w:rPr>
          <w:rFonts w:cstheme="minorHAnsi"/>
        </w:rPr>
        <w:t xml:space="preserve">, a </w:t>
      </w:r>
      <w:r w:rsidR="00372E18">
        <w:rPr>
          <w:rFonts w:cstheme="minorHAnsi"/>
        </w:rPr>
        <w:t xml:space="preserve">odnose se na rashode za </w:t>
      </w:r>
      <w:r w:rsidRPr="000C6009">
        <w:rPr>
          <w:rFonts w:cstheme="minorHAnsi"/>
        </w:rPr>
        <w:t>naknade za prijevoz</w:t>
      </w:r>
      <w:r w:rsidR="00AF763A" w:rsidRPr="000C6009">
        <w:rPr>
          <w:rFonts w:cstheme="minorHAnsi"/>
        </w:rPr>
        <w:t xml:space="preserve"> na posao i s posla,</w:t>
      </w:r>
      <w:r w:rsidRPr="000C6009">
        <w:rPr>
          <w:rFonts w:cstheme="minorHAnsi"/>
        </w:rPr>
        <w:t xml:space="preserve"> službena putovanja i stručno usa</w:t>
      </w:r>
      <w:r w:rsidR="00DC0948" w:rsidRPr="000C6009">
        <w:rPr>
          <w:rFonts w:cstheme="minorHAnsi"/>
        </w:rPr>
        <w:t xml:space="preserve">vršavanje zaposlenika. </w:t>
      </w:r>
      <w:r w:rsidR="00C851F9" w:rsidRPr="000C6009">
        <w:rPr>
          <w:rFonts w:cstheme="minorHAnsi"/>
        </w:rPr>
        <w:t xml:space="preserve">Razlog povećanja prethodno navedenih rashoda u odnosu na prethodnu godinu </w:t>
      </w:r>
      <w:r w:rsidR="00E01F45" w:rsidRPr="000C6009">
        <w:rPr>
          <w:rFonts w:cstheme="minorHAnsi"/>
        </w:rPr>
        <w:t xml:space="preserve">je povećanje cijena </w:t>
      </w:r>
      <w:r w:rsidR="00C851F9" w:rsidRPr="000C6009">
        <w:rPr>
          <w:rFonts w:cstheme="minorHAnsi"/>
        </w:rPr>
        <w:t>voznih karata mjesnog i međumjesnog prijevoza</w:t>
      </w:r>
      <w:r w:rsidR="00F50D95">
        <w:rPr>
          <w:rFonts w:cstheme="minorHAnsi"/>
        </w:rPr>
        <w:t xml:space="preserve"> od početka 2025. godine.</w:t>
      </w:r>
    </w:p>
    <w:p w14:paraId="18AFC5D1" w14:textId="727C8AE5" w:rsidR="00012701" w:rsidRDefault="00012701" w:rsidP="00012701">
      <w:pPr>
        <w:spacing w:before="120" w:after="120" w:line="240" w:lineRule="auto"/>
        <w:jc w:val="both"/>
        <w:rPr>
          <w:rFonts w:cstheme="minorHAnsi"/>
          <w:b/>
        </w:rPr>
      </w:pPr>
      <w:r w:rsidRPr="00861DCD">
        <w:rPr>
          <w:rFonts w:cstheme="minorHAnsi"/>
          <w:b/>
        </w:rPr>
        <w:t xml:space="preserve">Rashodi za materijal i energiju </w:t>
      </w:r>
      <w:r>
        <w:rPr>
          <w:rFonts w:cstheme="minorHAnsi"/>
        </w:rPr>
        <w:t>u prvom polugodištu 2025. godine izvršeni su u iznosu od 9.827,73</w:t>
      </w:r>
      <w:r w:rsidRPr="00DC225F">
        <w:rPr>
          <w:rFonts w:cstheme="minorHAnsi"/>
        </w:rPr>
        <w:t xml:space="preserve"> </w:t>
      </w:r>
      <w:r>
        <w:rPr>
          <w:rFonts w:cstheme="minorHAnsi"/>
        </w:rPr>
        <w:t>eura ili 26,93</w:t>
      </w:r>
      <w:r w:rsidRPr="00861DCD">
        <w:rPr>
          <w:rFonts w:cstheme="minorHAnsi"/>
        </w:rPr>
        <w:t>% godišnjeg plana,</w:t>
      </w:r>
      <w:r>
        <w:rPr>
          <w:rFonts w:cstheme="minorHAnsi"/>
        </w:rPr>
        <w:t xml:space="preserve"> te za 1.437,55 eura manje u usporedbi s istim razdobljem prethodne godine. Najveći</w:t>
      </w:r>
      <w:r w:rsidRPr="00861DCD">
        <w:rPr>
          <w:rFonts w:cstheme="minorHAnsi"/>
        </w:rPr>
        <w:t xml:space="preserve"> dio izvršenih rashoda odnosi n</w:t>
      </w:r>
      <w:r>
        <w:rPr>
          <w:rFonts w:cstheme="minorHAnsi"/>
        </w:rPr>
        <w:t>a rashode za energiju u iznosu od 6.199,46 eura</w:t>
      </w:r>
      <w:r w:rsidRPr="00861DCD">
        <w:rPr>
          <w:rFonts w:cstheme="minorHAnsi"/>
        </w:rPr>
        <w:t>, uredski materijal i ostale materi</w:t>
      </w:r>
      <w:r>
        <w:rPr>
          <w:rFonts w:cstheme="minorHAnsi"/>
        </w:rPr>
        <w:t xml:space="preserve">jalne rashode u iznosu od 3.394,20 eura, </w:t>
      </w:r>
      <w:r w:rsidRPr="00861DCD">
        <w:rPr>
          <w:rFonts w:cstheme="minorHAnsi"/>
        </w:rPr>
        <w:t>sitni invent</w:t>
      </w:r>
      <w:r>
        <w:rPr>
          <w:rFonts w:cstheme="minorHAnsi"/>
        </w:rPr>
        <w:t>ar i auto gume u iznosu od 231,28 eura te mate</w:t>
      </w:r>
      <w:r w:rsidR="004C201B">
        <w:rPr>
          <w:rFonts w:cstheme="minorHAnsi"/>
        </w:rPr>
        <w:t>r</w:t>
      </w:r>
      <w:r>
        <w:rPr>
          <w:rFonts w:cstheme="minorHAnsi"/>
        </w:rPr>
        <w:t>ijal i dijelovi za tekuće i investicijsko održavanje u iznosu 2,79 eura. Smanjenja</w:t>
      </w:r>
      <w:r w:rsidRPr="000C6009">
        <w:rPr>
          <w:rFonts w:cstheme="minorHAnsi"/>
        </w:rPr>
        <w:t xml:space="preserve"> navedenih rashoda u odnosu na prethodnu godinu </w:t>
      </w:r>
      <w:r>
        <w:rPr>
          <w:rFonts w:cstheme="minorHAnsi"/>
        </w:rPr>
        <w:t xml:space="preserve">rezultat </w:t>
      </w:r>
      <w:r w:rsidRPr="000C6009">
        <w:rPr>
          <w:rFonts w:cstheme="minorHAnsi"/>
        </w:rPr>
        <w:t xml:space="preserve">je </w:t>
      </w:r>
      <w:r>
        <w:rPr>
          <w:rFonts w:cstheme="minorHAnsi"/>
        </w:rPr>
        <w:t xml:space="preserve">smanjenih izdataka za </w:t>
      </w:r>
      <w:r>
        <w:t xml:space="preserve">sitan inventar i </w:t>
      </w:r>
      <w:proofErr w:type="spellStart"/>
      <w:r>
        <w:t>autogume</w:t>
      </w:r>
      <w:proofErr w:type="spellEnd"/>
      <w:r>
        <w:t>.</w:t>
      </w:r>
    </w:p>
    <w:p w14:paraId="34246EC3" w14:textId="11D159F8" w:rsidR="000B6926" w:rsidRPr="000C6009" w:rsidRDefault="000B3A72" w:rsidP="000C6009">
      <w:pPr>
        <w:spacing w:before="120" w:after="120" w:line="240" w:lineRule="auto"/>
        <w:jc w:val="both"/>
        <w:rPr>
          <w:rFonts w:cstheme="minorHAnsi"/>
        </w:rPr>
      </w:pPr>
      <w:r w:rsidRPr="000C6009">
        <w:rPr>
          <w:rFonts w:cstheme="minorHAnsi"/>
          <w:b/>
        </w:rPr>
        <w:t>Ostali nespomenuti rashodi poslovanja</w:t>
      </w:r>
      <w:r w:rsidR="00E01F45" w:rsidRPr="000C6009">
        <w:rPr>
          <w:rFonts w:cstheme="minorHAnsi"/>
        </w:rPr>
        <w:t xml:space="preserve"> </w:t>
      </w:r>
      <w:r w:rsidR="00056150">
        <w:rPr>
          <w:rFonts w:cstheme="minorHAnsi"/>
        </w:rPr>
        <w:t>u prvom polugodištu 202</w:t>
      </w:r>
      <w:r w:rsidR="00F50D95">
        <w:rPr>
          <w:rFonts w:cstheme="minorHAnsi"/>
        </w:rPr>
        <w:t>5</w:t>
      </w:r>
      <w:r w:rsidR="00056150">
        <w:rPr>
          <w:rFonts w:cstheme="minorHAnsi"/>
        </w:rPr>
        <w:t xml:space="preserve">. godine izvršeni su u iznosu od </w:t>
      </w:r>
      <w:r w:rsidR="00F50D95">
        <w:rPr>
          <w:rFonts w:cstheme="minorHAnsi"/>
        </w:rPr>
        <w:t>26.107,12</w:t>
      </w:r>
      <w:r w:rsidR="00056150" w:rsidRPr="00DC225F">
        <w:rPr>
          <w:rFonts w:cstheme="minorHAnsi"/>
        </w:rPr>
        <w:t xml:space="preserve"> </w:t>
      </w:r>
      <w:r w:rsidR="00056150">
        <w:rPr>
          <w:rFonts w:cstheme="minorHAnsi"/>
        </w:rPr>
        <w:t>eur</w:t>
      </w:r>
      <w:r w:rsidR="00F50D95">
        <w:rPr>
          <w:rFonts w:cstheme="minorHAnsi"/>
        </w:rPr>
        <w:t>a</w:t>
      </w:r>
      <w:r w:rsidR="00056150">
        <w:rPr>
          <w:rFonts w:cstheme="minorHAnsi"/>
        </w:rPr>
        <w:t xml:space="preserve"> </w:t>
      </w:r>
      <w:r w:rsidR="00E01F45" w:rsidRPr="000C6009">
        <w:rPr>
          <w:rFonts w:cstheme="minorHAnsi"/>
        </w:rPr>
        <w:t xml:space="preserve">ili </w:t>
      </w:r>
      <w:r w:rsidR="00F50D95">
        <w:rPr>
          <w:rFonts w:cstheme="minorHAnsi"/>
        </w:rPr>
        <w:t>45,68</w:t>
      </w:r>
      <w:r w:rsidR="001369B8" w:rsidRPr="000C6009">
        <w:rPr>
          <w:rFonts w:cstheme="minorHAnsi"/>
        </w:rPr>
        <w:t xml:space="preserve">% godišnjeg plana, </w:t>
      </w:r>
      <w:r w:rsidR="00372E18">
        <w:rPr>
          <w:rFonts w:cstheme="minorHAnsi"/>
        </w:rPr>
        <w:t>te</w:t>
      </w:r>
      <w:r w:rsidR="001369B8" w:rsidRPr="000C6009">
        <w:rPr>
          <w:rFonts w:cstheme="minorHAnsi"/>
        </w:rPr>
        <w:t xml:space="preserve"> </w:t>
      </w:r>
      <w:r w:rsidR="00E01F45" w:rsidRPr="000C6009">
        <w:rPr>
          <w:rFonts w:cstheme="minorHAnsi"/>
        </w:rPr>
        <w:t>za</w:t>
      </w:r>
      <w:r w:rsidR="00056150">
        <w:rPr>
          <w:rFonts w:cstheme="minorHAnsi"/>
        </w:rPr>
        <w:t xml:space="preserve"> </w:t>
      </w:r>
      <w:r w:rsidR="00F50D95">
        <w:rPr>
          <w:rFonts w:cstheme="minorHAnsi"/>
        </w:rPr>
        <w:t>1.032,20 eura manje</w:t>
      </w:r>
      <w:r w:rsidRPr="000C6009">
        <w:rPr>
          <w:rFonts w:cstheme="minorHAnsi"/>
        </w:rPr>
        <w:t xml:space="preserve"> u usporedbi s istim razdobljem prethod</w:t>
      </w:r>
      <w:r w:rsidR="000B6926" w:rsidRPr="000C6009">
        <w:rPr>
          <w:rFonts w:cstheme="minorHAnsi"/>
        </w:rPr>
        <w:t xml:space="preserve">ne godine, a isti se odnose na </w:t>
      </w:r>
      <w:r w:rsidRPr="000C6009">
        <w:rPr>
          <w:rFonts w:cstheme="minorHAnsi"/>
        </w:rPr>
        <w:t xml:space="preserve">naknade za rad </w:t>
      </w:r>
      <w:r w:rsidR="00834DD4" w:rsidRPr="000C6009">
        <w:rPr>
          <w:rFonts w:cstheme="minorHAnsi"/>
        </w:rPr>
        <w:t>U</w:t>
      </w:r>
      <w:r w:rsidR="00635EEC" w:rsidRPr="000C6009">
        <w:rPr>
          <w:rFonts w:cstheme="minorHAnsi"/>
        </w:rPr>
        <w:t>pravnog vijeća</w:t>
      </w:r>
      <w:r w:rsidRPr="000C6009">
        <w:rPr>
          <w:rFonts w:cstheme="minorHAnsi"/>
        </w:rPr>
        <w:t xml:space="preserve">, </w:t>
      </w:r>
      <w:r w:rsidR="00F50D95">
        <w:rPr>
          <w:rFonts w:cstheme="minorHAnsi"/>
        </w:rPr>
        <w:t xml:space="preserve">premije osiguranja, reprezentacije, članarine i norme, pristojbe i naknade, troškove sudskih postupaka i ostali nespomenuti rashodi. Najveće smanjenje </w:t>
      </w:r>
      <w:r w:rsidR="00056150">
        <w:rPr>
          <w:rFonts w:cstheme="minorHAnsi"/>
        </w:rPr>
        <w:t>navedenih rashoda u prvom polugodištu 202</w:t>
      </w:r>
      <w:r w:rsidR="00F50D95">
        <w:rPr>
          <w:rFonts w:cstheme="minorHAnsi"/>
        </w:rPr>
        <w:t xml:space="preserve">5. godine odnosi se na rashode za reprezentaciju </w:t>
      </w:r>
      <w:r w:rsidR="00056150">
        <w:rPr>
          <w:rFonts w:cstheme="minorHAnsi"/>
        </w:rPr>
        <w:t>koj</w:t>
      </w:r>
      <w:r w:rsidR="00B169EE">
        <w:rPr>
          <w:rFonts w:cstheme="minorHAnsi"/>
        </w:rPr>
        <w:t>i</w:t>
      </w:r>
      <w:r w:rsidR="00056150">
        <w:rPr>
          <w:rFonts w:cstheme="minorHAnsi"/>
        </w:rPr>
        <w:t xml:space="preserve"> </w:t>
      </w:r>
      <w:r w:rsidR="00B169EE">
        <w:rPr>
          <w:rFonts w:cstheme="minorHAnsi"/>
        </w:rPr>
        <w:t>su</w:t>
      </w:r>
      <w:r w:rsidR="00056150">
        <w:rPr>
          <w:rFonts w:cstheme="minorHAnsi"/>
        </w:rPr>
        <w:t xml:space="preserve"> izvršen</w:t>
      </w:r>
      <w:r w:rsidR="00B169EE">
        <w:rPr>
          <w:rFonts w:cstheme="minorHAnsi"/>
        </w:rPr>
        <w:t>i</w:t>
      </w:r>
      <w:r w:rsidR="00056150">
        <w:rPr>
          <w:rFonts w:cstheme="minorHAnsi"/>
        </w:rPr>
        <w:t xml:space="preserve"> u iznosu</w:t>
      </w:r>
      <w:r w:rsidR="00AE4D50">
        <w:rPr>
          <w:rFonts w:cstheme="minorHAnsi"/>
        </w:rPr>
        <w:t xml:space="preserve"> od</w:t>
      </w:r>
      <w:r w:rsidR="00056150">
        <w:rPr>
          <w:rFonts w:cstheme="minorHAnsi"/>
        </w:rPr>
        <w:t xml:space="preserve"> </w:t>
      </w:r>
      <w:r w:rsidR="00F50D95">
        <w:rPr>
          <w:rFonts w:cstheme="minorHAnsi"/>
        </w:rPr>
        <w:t>1.897,82</w:t>
      </w:r>
      <w:r w:rsidR="00056150">
        <w:rPr>
          <w:rFonts w:cstheme="minorHAnsi"/>
        </w:rPr>
        <w:t xml:space="preserve"> eur</w:t>
      </w:r>
      <w:r w:rsidR="00F50D95">
        <w:rPr>
          <w:rFonts w:cstheme="minorHAnsi"/>
        </w:rPr>
        <w:t>a</w:t>
      </w:r>
      <w:r w:rsidR="00056150">
        <w:rPr>
          <w:rFonts w:cstheme="minorHAnsi"/>
        </w:rPr>
        <w:t xml:space="preserve"> ili </w:t>
      </w:r>
      <w:r w:rsidR="00F50D95">
        <w:rPr>
          <w:rFonts w:cstheme="minorHAnsi"/>
        </w:rPr>
        <w:t>27,11</w:t>
      </w:r>
      <w:r w:rsidR="00056150">
        <w:rPr>
          <w:rFonts w:cstheme="minorHAnsi"/>
        </w:rPr>
        <w:t xml:space="preserve">% godišnjeg plana, </w:t>
      </w:r>
      <w:r w:rsidR="00372E18">
        <w:rPr>
          <w:rFonts w:cstheme="minorHAnsi"/>
        </w:rPr>
        <w:t>te</w:t>
      </w:r>
      <w:r w:rsidR="00056150">
        <w:rPr>
          <w:rFonts w:cstheme="minorHAnsi"/>
        </w:rPr>
        <w:t xml:space="preserve"> za </w:t>
      </w:r>
      <w:r w:rsidR="00F50D95">
        <w:rPr>
          <w:rFonts w:cstheme="minorHAnsi"/>
        </w:rPr>
        <w:t>1.456,63</w:t>
      </w:r>
      <w:r w:rsidR="00056150">
        <w:rPr>
          <w:rFonts w:cstheme="minorHAnsi"/>
        </w:rPr>
        <w:t xml:space="preserve"> eur</w:t>
      </w:r>
      <w:r w:rsidR="00F50D95">
        <w:rPr>
          <w:rFonts w:cstheme="minorHAnsi"/>
        </w:rPr>
        <w:t>a manje</w:t>
      </w:r>
      <w:r w:rsidR="00056150">
        <w:rPr>
          <w:rFonts w:cstheme="minorHAnsi"/>
        </w:rPr>
        <w:t xml:space="preserve"> u odnosu na i</w:t>
      </w:r>
      <w:r w:rsidR="002D69DF">
        <w:rPr>
          <w:rFonts w:cstheme="minorHAnsi"/>
        </w:rPr>
        <w:t>sto razdoblje prethodne godine te rashod</w:t>
      </w:r>
      <w:r w:rsidR="00B169EE">
        <w:rPr>
          <w:rFonts w:cstheme="minorHAnsi"/>
        </w:rPr>
        <w:t>e za pristojbe i naknade koji su izvršeni</w:t>
      </w:r>
      <w:r w:rsidR="002D69DF">
        <w:rPr>
          <w:rFonts w:cstheme="minorHAnsi"/>
        </w:rPr>
        <w:t xml:space="preserve"> u iznosu od 1.695,54 eura ili 28,26% godišnjeg plana te za 655,80 eura manje u odnosu na isto razdoblje prethodne godine.</w:t>
      </w:r>
    </w:p>
    <w:p w14:paraId="1157D37F" w14:textId="77777777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Financijski rashodi</w:t>
      </w:r>
    </w:p>
    <w:p w14:paraId="1D63FDD7" w14:textId="28DBAEF8" w:rsidR="009C6F1C" w:rsidRDefault="009C6F1C" w:rsidP="009C6F1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 xml:space="preserve">Financijski rashodi </w:t>
      </w:r>
      <w:r w:rsidR="00B169EE">
        <w:rPr>
          <w:rFonts w:eastAsiaTheme="minorEastAsia" w:cstheme="minorHAnsi"/>
          <w:lang w:eastAsia="hr-HR"/>
        </w:rPr>
        <w:t>izvršeni</w:t>
      </w:r>
      <w:r>
        <w:rPr>
          <w:rFonts w:eastAsiaTheme="minorEastAsia" w:cstheme="minorHAnsi"/>
          <w:lang w:eastAsia="hr-HR"/>
        </w:rPr>
        <w:t xml:space="preserve"> su u iznosu od 65.</w:t>
      </w:r>
      <w:r w:rsidR="00F25CD6">
        <w:rPr>
          <w:rFonts w:eastAsiaTheme="minorEastAsia" w:cstheme="minorHAnsi"/>
          <w:lang w:eastAsia="hr-HR"/>
        </w:rPr>
        <w:t>227,</w:t>
      </w:r>
      <w:r w:rsidR="00B169EE">
        <w:rPr>
          <w:rFonts w:eastAsiaTheme="minorEastAsia" w:cstheme="minorHAnsi"/>
          <w:lang w:eastAsia="hr-HR"/>
        </w:rPr>
        <w:t>2</w:t>
      </w:r>
      <w:r w:rsidR="00F25CD6">
        <w:rPr>
          <w:rFonts w:eastAsiaTheme="minorEastAsia" w:cstheme="minorHAnsi"/>
          <w:lang w:eastAsia="hr-HR"/>
        </w:rPr>
        <w:t>3</w:t>
      </w:r>
      <w:r>
        <w:rPr>
          <w:rFonts w:eastAsiaTheme="minorEastAsia" w:cstheme="minorHAnsi"/>
          <w:lang w:eastAsia="hr-HR"/>
        </w:rPr>
        <w:t xml:space="preserve"> eura</w:t>
      </w:r>
      <w:r w:rsidR="00EC71D5">
        <w:rPr>
          <w:rFonts w:eastAsiaTheme="minorEastAsia" w:cstheme="minorHAnsi"/>
          <w:lang w:eastAsia="hr-HR"/>
        </w:rPr>
        <w:t xml:space="preserve"> ili </w:t>
      </w:r>
      <w:r w:rsidR="004C201B">
        <w:rPr>
          <w:rFonts w:eastAsiaTheme="minorEastAsia" w:cstheme="minorHAnsi"/>
          <w:lang w:eastAsia="hr-HR"/>
        </w:rPr>
        <w:t>69,6</w:t>
      </w:r>
      <w:r w:rsidR="00F25CD6">
        <w:rPr>
          <w:rFonts w:eastAsiaTheme="minorEastAsia" w:cstheme="minorHAnsi"/>
          <w:lang w:eastAsia="hr-HR"/>
        </w:rPr>
        <w:t>5</w:t>
      </w:r>
      <w:r w:rsidR="00EC71D5">
        <w:rPr>
          <w:rFonts w:eastAsiaTheme="minorEastAsia" w:cstheme="minorHAnsi"/>
          <w:lang w:eastAsia="hr-HR"/>
        </w:rPr>
        <w:t xml:space="preserve">% godišnjeg plana, te </w:t>
      </w:r>
      <w:r>
        <w:rPr>
          <w:rFonts w:eastAsiaTheme="minorEastAsia" w:cstheme="minorHAnsi"/>
          <w:lang w:eastAsia="hr-HR"/>
        </w:rPr>
        <w:t xml:space="preserve">za </w:t>
      </w:r>
      <w:r w:rsidR="00F25CD6">
        <w:rPr>
          <w:rFonts w:eastAsiaTheme="minorEastAsia" w:cstheme="minorHAnsi"/>
          <w:lang w:eastAsia="hr-HR"/>
        </w:rPr>
        <w:t>48.991,75</w:t>
      </w:r>
      <w:r>
        <w:rPr>
          <w:rFonts w:eastAsiaTheme="minorEastAsia" w:cstheme="minorHAnsi"/>
          <w:lang w:eastAsia="hr-HR"/>
        </w:rPr>
        <w:t xml:space="preserve"> eura</w:t>
      </w:r>
      <w:r w:rsidR="00EC71D5">
        <w:rPr>
          <w:rFonts w:eastAsiaTheme="minorEastAsia" w:cstheme="minorHAnsi"/>
          <w:lang w:eastAsia="hr-HR"/>
        </w:rPr>
        <w:t xml:space="preserve"> više u odnosu na isto razdoblje prethodne godine</w:t>
      </w:r>
      <w:r>
        <w:rPr>
          <w:rFonts w:eastAsiaTheme="minorEastAsia" w:cstheme="minorHAnsi"/>
          <w:lang w:eastAsia="hr-HR"/>
        </w:rPr>
        <w:t>. O</w:t>
      </w:r>
      <w:r w:rsidRPr="003A374C">
        <w:rPr>
          <w:rFonts w:eastAsiaTheme="minorEastAsia" w:cstheme="minorHAnsi"/>
          <w:lang w:eastAsia="hr-HR"/>
        </w:rPr>
        <w:t xml:space="preserve">dnose se na rashode za kamate na dugoročni kredit Privredne banke d.d. u iznosu od </w:t>
      </w:r>
      <w:r>
        <w:rPr>
          <w:rFonts w:eastAsiaTheme="minorEastAsia" w:cstheme="minorHAnsi"/>
          <w:lang w:eastAsia="hr-HR"/>
        </w:rPr>
        <w:t>12.295,70</w:t>
      </w:r>
      <w:r w:rsidRPr="003A374C">
        <w:rPr>
          <w:rFonts w:eastAsiaTheme="minorEastAsia" w:cstheme="minorHAnsi"/>
          <w:lang w:eastAsia="hr-HR"/>
        </w:rPr>
        <w:t xml:space="preserve"> eura (</w:t>
      </w:r>
      <w:r>
        <w:rPr>
          <w:rFonts w:eastAsiaTheme="minorEastAsia" w:cstheme="minorHAnsi"/>
          <w:lang w:eastAsia="hr-HR"/>
        </w:rPr>
        <w:t xml:space="preserve">smanjenje </w:t>
      </w:r>
      <w:r w:rsidRPr="003A374C">
        <w:rPr>
          <w:rFonts w:eastAsiaTheme="minorEastAsia" w:cstheme="minorHAnsi"/>
          <w:lang w:eastAsia="hr-HR"/>
        </w:rPr>
        <w:t xml:space="preserve">rashoda za </w:t>
      </w:r>
      <w:r w:rsidR="00B169EE">
        <w:rPr>
          <w:rFonts w:eastAsiaTheme="minorEastAsia" w:cstheme="minorHAnsi"/>
          <w:lang w:eastAsia="hr-HR"/>
        </w:rPr>
        <w:t xml:space="preserve">3.219,29 eura ili 20,75% </w:t>
      </w:r>
      <w:r w:rsidRPr="003A374C">
        <w:rPr>
          <w:rFonts w:eastAsiaTheme="minorEastAsia" w:cstheme="minorHAnsi"/>
          <w:lang w:eastAsia="hr-HR"/>
        </w:rPr>
        <w:t xml:space="preserve">posljedica je otplate </w:t>
      </w:r>
      <w:r w:rsidR="0080099F">
        <w:rPr>
          <w:rFonts w:eastAsiaTheme="minorEastAsia" w:cstheme="minorHAnsi"/>
          <w:lang w:eastAsia="hr-HR"/>
        </w:rPr>
        <w:t xml:space="preserve">dijela </w:t>
      </w:r>
      <w:r>
        <w:rPr>
          <w:rFonts w:eastAsiaTheme="minorEastAsia" w:cstheme="minorHAnsi"/>
          <w:lang w:eastAsia="hr-HR"/>
        </w:rPr>
        <w:t xml:space="preserve">glavnice </w:t>
      </w:r>
      <w:r w:rsidRPr="003A374C">
        <w:rPr>
          <w:rFonts w:eastAsiaTheme="minorEastAsia" w:cstheme="minorHAnsi"/>
          <w:lang w:eastAsia="hr-HR"/>
        </w:rPr>
        <w:t>primljenog kredita)</w:t>
      </w:r>
      <w:r>
        <w:rPr>
          <w:rFonts w:eastAsiaTheme="minorEastAsia" w:cstheme="minorHAnsi"/>
          <w:lang w:eastAsia="hr-HR"/>
        </w:rPr>
        <w:t xml:space="preserve">, zatezne kamate u iznosu od 52.068,23 eura (povećanje </w:t>
      </w:r>
      <w:r w:rsidR="004C201B">
        <w:rPr>
          <w:rFonts w:eastAsiaTheme="minorEastAsia" w:cstheme="minorHAnsi"/>
          <w:lang w:eastAsia="hr-HR"/>
        </w:rPr>
        <w:t xml:space="preserve">navedenih </w:t>
      </w:r>
      <w:r w:rsidR="0080099F">
        <w:rPr>
          <w:rFonts w:eastAsiaTheme="minorEastAsia" w:cstheme="minorHAnsi"/>
          <w:lang w:eastAsia="hr-HR"/>
        </w:rPr>
        <w:t xml:space="preserve">rashoda </w:t>
      </w:r>
      <w:r>
        <w:rPr>
          <w:rFonts w:eastAsiaTheme="minorEastAsia" w:cstheme="minorHAnsi"/>
          <w:lang w:eastAsia="hr-HR"/>
        </w:rPr>
        <w:t xml:space="preserve">posljedica je isplaćene plaće za period od 2016. do 2019. godine temeljem okončane sudske presude </w:t>
      </w:r>
      <w:proofErr w:type="spellStart"/>
      <w:r>
        <w:rPr>
          <w:rFonts w:eastAsiaTheme="minorEastAsia" w:cstheme="minorHAnsi"/>
          <w:lang w:eastAsia="hr-HR"/>
        </w:rPr>
        <w:t>Posl</w:t>
      </w:r>
      <w:proofErr w:type="spellEnd"/>
      <w:r>
        <w:rPr>
          <w:rFonts w:eastAsiaTheme="minorEastAsia" w:cstheme="minorHAnsi"/>
          <w:lang w:eastAsia="hr-HR"/>
        </w:rPr>
        <w:t>.</w:t>
      </w:r>
      <w:r w:rsidRPr="003B63B7">
        <w:rPr>
          <w:rFonts w:eastAsiaTheme="minorEastAsia" w:cstheme="minorHAnsi"/>
          <w:lang w:eastAsia="hr-HR"/>
        </w:rPr>
        <w:t xml:space="preserve"> </w:t>
      </w:r>
      <w:r w:rsidR="004C201B">
        <w:rPr>
          <w:rFonts w:eastAsiaTheme="minorEastAsia" w:cstheme="minorHAnsi"/>
          <w:lang w:eastAsia="hr-HR"/>
        </w:rPr>
        <w:t>br. Pr-433/2019-57)</w:t>
      </w:r>
      <w:r>
        <w:rPr>
          <w:rFonts w:eastAsiaTheme="minorEastAsia" w:cstheme="minorHAnsi"/>
          <w:lang w:eastAsia="hr-HR"/>
        </w:rPr>
        <w:t xml:space="preserve"> </w:t>
      </w:r>
      <w:r w:rsidRPr="003A374C">
        <w:rPr>
          <w:rFonts w:eastAsiaTheme="minorEastAsia" w:cstheme="minorHAnsi"/>
          <w:lang w:eastAsia="hr-HR"/>
        </w:rPr>
        <w:t xml:space="preserve">i ostale financijske rashode za bankarske usluge i usluge platnog prometa u iznosu od </w:t>
      </w:r>
      <w:r>
        <w:rPr>
          <w:rFonts w:eastAsiaTheme="minorEastAsia" w:cstheme="minorHAnsi"/>
          <w:lang w:eastAsia="hr-HR"/>
        </w:rPr>
        <w:t>8</w:t>
      </w:r>
      <w:r w:rsidR="00F25CD6">
        <w:rPr>
          <w:rFonts w:eastAsiaTheme="minorEastAsia" w:cstheme="minorHAnsi"/>
          <w:lang w:eastAsia="hr-HR"/>
        </w:rPr>
        <w:t>63,30</w:t>
      </w:r>
      <w:r w:rsidRPr="003A374C">
        <w:rPr>
          <w:rFonts w:eastAsiaTheme="minorEastAsia" w:cstheme="minorHAnsi"/>
          <w:lang w:eastAsia="hr-HR"/>
        </w:rPr>
        <w:t xml:space="preserve"> eura</w:t>
      </w:r>
      <w:r w:rsidR="004C201B">
        <w:rPr>
          <w:rFonts w:eastAsiaTheme="minorEastAsia" w:cstheme="minorHAnsi"/>
          <w:lang w:eastAsia="hr-HR"/>
        </w:rPr>
        <w:t>.</w:t>
      </w:r>
    </w:p>
    <w:p w14:paraId="4759D477" w14:textId="77777777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Pomoći dane u inozemstvo i unutar općeg proračuna</w:t>
      </w:r>
    </w:p>
    <w:p w14:paraId="03D366E4" w14:textId="7EDF8072" w:rsidR="000B3A72" w:rsidRPr="00CD5B87" w:rsidRDefault="00357F92" w:rsidP="005C780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Rashodi za </w:t>
      </w:r>
      <w:r w:rsidR="00FF0559">
        <w:rPr>
          <w:rFonts w:cstheme="minorHAnsi"/>
        </w:rPr>
        <w:t>pomoći u inozemstvo</w:t>
      </w:r>
      <w:r w:rsidR="000B3A72" w:rsidRPr="00CD5B87">
        <w:rPr>
          <w:rFonts w:cstheme="minorHAnsi"/>
        </w:rPr>
        <w:t xml:space="preserve"> i unutar općeg proračuna</w:t>
      </w:r>
      <w:r w:rsidR="007E3D70">
        <w:rPr>
          <w:rFonts w:cstheme="minorHAnsi"/>
        </w:rPr>
        <w:t xml:space="preserve"> u prvom polugodištu 202</w:t>
      </w:r>
      <w:r w:rsidR="00EC71D5">
        <w:rPr>
          <w:rFonts w:cstheme="minorHAnsi"/>
        </w:rPr>
        <w:t>5</w:t>
      </w:r>
      <w:r w:rsidR="007E3D70">
        <w:rPr>
          <w:rFonts w:cstheme="minorHAnsi"/>
        </w:rPr>
        <w:t>. godine</w:t>
      </w:r>
      <w:r w:rsidR="000B3A72" w:rsidRPr="00CD5B87">
        <w:rPr>
          <w:rFonts w:cstheme="minorHAnsi"/>
        </w:rPr>
        <w:t xml:space="preserve"> izvršeni su u iznosu </w:t>
      </w:r>
      <w:r w:rsidR="00464E8D">
        <w:rPr>
          <w:rFonts w:cstheme="minorHAnsi"/>
        </w:rPr>
        <w:t xml:space="preserve">od </w:t>
      </w:r>
      <w:r w:rsidR="00EC71D5">
        <w:rPr>
          <w:rFonts w:cstheme="minorHAnsi"/>
        </w:rPr>
        <w:t>362.615,52</w:t>
      </w:r>
      <w:r w:rsidR="00E01F45">
        <w:rPr>
          <w:rFonts w:cstheme="minorHAnsi"/>
          <w:color w:val="000000"/>
        </w:rPr>
        <w:t xml:space="preserve"> eur</w:t>
      </w:r>
      <w:r w:rsidR="00EC71D5">
        <w:rPr>
          <w:rFonts w:cstheme="minorHAnsi"/>
          <w:color w:val="000000"/>
        </w:rPr>
        <w:t>a</w:t>
      </w:r>
      <w:r w:rsidR="00E01F45">
        <w:rPr>
          <w:rFonts w:cstheme="minorHAnsi"/>
          <w:color w:val="000000"/>
        </w:rPr>
        <w:t>,</w:t>
      </w:r>
      <w:r w:rsidR="00E01F45">
        <w:rPr>
          <w:rFonts w:cstheme="minorHAnsi"/>
        </w:rPr>
        <w:t xml:space="preserve"> što predstavlja </w:t>
      </w:r>
      <w:r w:rsidR="00EC71D5">
        <w:rPr>
          <w:rFonts w:cstheme="minorHAnsi"/>
        </w:rPr>
        <w:t>41,93</w:t>
      </w:r>
      <w:r w:rsidR="000B3A72" w:rsidRPr="00CD5B87">
        <w:rPr>
          <w:rFonts w:cstheme="minorHAnsi"/>
        </w:rPr>
        <w:t>% godišnjeg plana</w:t>
      </w:r>
      <w:r w:rsidR="0089474E">
        <w:rPr>
          <w:rFonts w:cstheme="minorHAnsi"/>
        </w:rPr>
        <w:t xml:space="preserve">, a </w:t>
      </w:r>
      <w:r w:rsidR="00E01F45" w:rsidRPr="00CD5B87">
        <w:rPr>
          <w:rFonts w:cstheme="minorHAnsi"/>
        </w:rPr>
        <w:t xml:space="preserve">odnose se na </w:t>
      </w:r>
      <w:r w:rsidR="0089474E">
        <w:rPr>
          <w:rFonts w:cstheme="minorHAnsi"/>
        </w:rPr>
        <w:t>sredstva doznačena Gradu Rijeci</w:t>
      </w:r>
      <w:r>
        <w:rPr>
          <w:rFonts w:cstheme="minorHAnsi"/>
        </w:rPr>
        <w:t xml:space="preserve"> </w:t>
      </w:r>
      <w:r w:rsidR="000B3A72" w:rsidRPr="00CD5B87">
        <w:rPr>
          <w:rFonts w:cstheme="minorHAnsi"/>
        </w:rPr>
        <w:t xml:space="preserve">na temelju odredbi Pravilnika o naplati godišnje naknade za uporabu javnih cesta </w:t>
      </w:r>
      <w:r>
        <w:rPr>
          <w:rFonts w:cstheme="minorHAnsi"/>
        </w:rPr>
        <w:t>što</w:t>
      </w:r>
      <w:r w:rsidR="000B3A72" w:rsidRPr="00CD5B87">
        <w:rPr>
          <w:rFonts w:cstheme="minorHAnsi"/>
        </w:rPr>
        <w:t xml:space="preserve"> se plaća pri registraciji </w:t>
      </w:r>
      <w:r>
        <w:rPr>
          <w:rFonts w:cstheme="minorHAnsi"/>
        </w:rPr>
        <w:t xml:space="preserve">motornih i priključnih </w:t>
      </w:r>
      <w:r w:rsidR="00DC0948">
        <w:rPr>
          <w:rFonts w:cstheme="minorHAnsi"/>
        </w:rPr>
        <w:t>vozila („</w:t>
      </w:r>
      <w:r w:rsidR="00CC1CF3">
        <w:rPr>
          <w:rFonts w:cstheme="minorHAnsi"/>
        </w:rPr>
        <w:t>Narode novine“</w:t>
      </w:r>
      <w:r w:rsidR="000B3A72" w:rsidRPr="00CD5B87">
        <w:rPr>
          <w:rFonts w:cstheme="minorHAnsi"/>
        </w:rPr>
        <w:t xml:space="preserve">, broj </w:t>
      </w:r>
      <w:r>
        <w:rPr>
          <w:rFonts w:cstheme="minorHAnsi"/>
        </w:rPr>
        <w:t>130/12</w:t>
      </w:r>
      <w:r w:rsidR="000B3A72" w:rsidRPr="00CD5B87">
        <w:rPr>
          <w:rFonts w:cstheme="minorHAnsi"/>
        </w:rPr>
        <w:t>) na osnovu kojih je propisano da se iz sredstava godišnje naknade izdvaja dio gradovima s više od 35.000 stanovnika</w:t>
      </w:r>
      <w:r w:rsidR="00AF763A">
        <w:rPr>
          <w:rFonts w:cstheme="minorHAnsi"/>
        </w:rPr>
        <w:t>,</w:t>
      </w:r>
      <w:r w:rsidR="000B3A72" w:rsidRPr="00CD5B87">
        <w:rPr>
          <w:rFonts w:cstheme="minorHAnsi"/>
        </w:rPr>
        <w:t xml:space="preserve"> te gradovima koji su sjedišta županija (veliki gradovi) za nerazvrstane ceste. </w:t>
      </w:r>
      <w:r>
        <w:rPr>
          <w:rFonts w:cstheme="minorHAnsi"/>
        </w:rPr>
        <w:t xml:space="preserve">Odredbama navedenog Pravilnika </w:t>
      </w:r>
      <w:r w:rsidR="000B3A72" w:rsidRPr="00CD5B87">
        <w:rPr>
          <w:rFonts w:cstheme="minorHAnsi"/>
        </w:rPr>
        <w:t xml:space="preserve">propisani su udjeli velikih gradova u prihodu od godišnje naknade koji za Grad Rijeku iznosi 6,8%. </w:t>
      </w:r>
    </w:p>
    <w:p w14:paraId="1D39BF90" w14:textId="77777777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lastRenderedPageBreak/>
        <w:t>Ostali rashodi</w:t>
      </w:r>
    </w:p>
    <w:p w14:paraId="18792336" w14:textId="6AE9B80B" w:rsidR="00D10B5D" w:rsidRDefault="000B3A72" w:rsidP="00D10B5D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Ostali rashodi </w:t>
      </w:r>
      <w:r w:rsidR="007E3D70">
        <w:rPr>
          <w:rFonts w:cstheme="minorHAnsi"/>
        </w:rPr>
        <w:t>u prvom polugodištu 202</w:t>
      </w:r>
      <w:r w:rsidR="00EC71D5">
        <w:rPr>
          <w:rFonts w:cstheme="minorHAnsi"/>
        </w:rPr>
        <w:t>5</w:t>
      </w:r>
      <w:r w:rsidR="007E3D70">
        <w:rPr>
          <w:rFonts w:cstheme="minorHAnsi"/>
        </w:rPr>
        <w:t xml:space="preserve">. godine </w:t>
      </w:r>
      <w:r w:rsidR="0089474E">
        <w:rPr>
          <w:rFonts w:cstheme="minorHAnsi"/>
        </w:rPr>
        <w:t xml:space="preserve">izvršeni su u iznosu od </w:t>
      </w:r>
      <w:r w:rsidR="00EC71D5">
        <w:rPr>
          <w:rFonts w:cstheme="minorHAnsi"/>
        </w:rPr>
        <w:t>7.650,13</w:t>
      </w:r>
      <w:r w:rsidR="004451EE">
        <w:rPr>
          <w:rFonts w:cstheme="minorHAnsi"/>
        </w:rPr>
        <w:t xml:space="preserve"> eur</w:t>
      </w:r>
      <w:r w:rsidR="00EC71D5">
        <w:rPr>
          <w:rFonts w:cstheme="minorHAnsi"/>
        </w:rPr>
        <w:t>a</w:t>
      </w:r>
      <w:r w:rsidR="0089474E">
        <w:rPr>
          <w:rFonts w:cstheme="minorHAnsi"/>
        </w:rPr>
        <w:t xml:space="preserve"> ili </w:t>
      </w:r>
      <w:r w:rsidR="00EC71D5">
        <w:rPr>
          <w:rFonts w:cstheme="minorHAnsi"/>
        </w:rPr>
        <w:t>14,71</w:t>
      </w:r>
      <w:r w:rsidR="002B14FC">
        <w:rPr>
          <w:rFonts w:cstheme="minorHAnsi"/>
        </w:rPr>
        <w:t>%</w:t>
      </w:r>
      <w:r w:rsidR="0089474E">
        <w:rPr>
          <w:rFonts w:cstheme="minorHAnsi"/>
        </w:rPr>
        <w:t xml:space="preserve"> godišnjeg plana</w:t>
      </w:r>
      <w:r w:rsidR="00EC71D5">
        <w:rPr>
          <w:rFonts w:cstheme="minorHAnsi"/>
        </w:rPr>
        <w:t>, te za 6.407,84 eura više u odnosu na isto razdoblje prethodne godine. Ostali rashodi</w:t>
      </w:r>
      <w:r w:rsidR="00464E8D">
        <w:rPr>
          <w:rFonts w:cstheme="minorHAnsi"/>
        </w:rPr>
        <w:t xml:space="preserve"> </w:t>
      </w:r>
      <w:r w:rsidR="004F1294">
        <w:rPr>
          <w:rFonts w:cstheme="minorHAnsi"/>
        </w:rPr>
        <w:t xml:space="preserve">odnose se na isplatu štete po </w:t>
      </w:r>
      <w:r w:rsidR="0089474E">
        <w:rPr>
          <w:rFonts w:cstheme="minorHAnsi"/>
        </w:rPr>
        <w:t xml:space="preserve">pravomoćnim </w:t>
      </w:r>
      <w:r w:rsidR="004F1294">
        <w:rPr>
          <w:rFonts w:cstheme="minorHAnsi"/>
        </w:rPr>
        <w:t>s</w:t>
      </w:r>
      <w:r w:rsidR="0089474E">
        <w:rPr>
          <w:rFonts w:cstheme="minorHAnsi"/>
        </w:rPr>
        <w:t>udskim postupcima koji nisu pok</w:t>
      </w:r>
      <w:r w:rsidR="00D10B5D">
        <w:rPr>
          <w:rFonts w:cstheme="minorHAnsi"/>
        </w:rPr>
        <w:t>riveni policom iz odgovornosti.</w:t>
      </w:r>
    </w:p>
    <w:p w14:paraId="15BEDE57" w14:textId="6B184488" w:rsidR="000B3A72" w:rsidRPr="00CD5B87" w:rsidRDefault="00175536" w:rsidP="00EC6EAF">
      <w:pPr>
        <w:pStyle w:val="Naslov4"/>
      </w:pPr>
      <w:bookmarkStart w:id="41" w:name="_Toc204162378"/>
      <w:r>
        <w:t>RASHODI</w:t>
      </w:r>
      <w:r w:rsidR="005F69E2" w:rsidRPr="00CD5B87">
        <w:t xml:space="preserve"> </w:t>
      </w:r>
      <w:r w:rsidR="005F69E2" w:rsidRPr="00D340BD">
        <w:t>ZA</w:t>
      </w:r>
      <w:r w:rsidR="005F69E2" w:rsidRPr="00CD5B87">
        <w:t xml:space="preserve"> </w:t>
      </w:r>
      <w:r w:rsidR="005F69E2" w:rsidRPr="00D340BD">
        <w:t>NABAVU</w:t>
      </w:r>
      <w:r w:rsidR="005F69E2" w:rsidRPr="00CD5B87">
        <w:t xml:space="preserve"> NEFINANCIJSKE IMOVINE</w:t>
      </w:r>
      <w:bookmarkEnd w:id="41"/>
    </w:p>
    <w:p w14:paraId="2B253478" w14:textId="238A2B74" w:rsidR="009B4DB6" w:rsidRDefault="000B3A72" w:rsidP="00E362C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Rashodi za nabavu nefinancijske imovine </w:t>
      </w:r>
      <w:r w:rsidR="005C3EB6">
        <w:rPr>
          <w:rFonts w:cstheme="minorHAnsi"/>
        </w:rPr>
        <w:t xml:space="preserve">u </w:t>
      </w:r>
      <w:r w:rsidR="007E3D70">
        <w:rPr>
          <w:rFonts w:cstheme="minorHAnsi"/>
        </w:rPr>
        <w:t xml:space="preserve">prvom polugodištu </w:t>
      </w:r>
      <w:r w:rsidRPr="00CD5B87">
        <w:rPr>
          <w:rFonts w:cstheme="minorHAnsi"/>
        </w:rPr>
        <w:t>202</w:t>
      </w:r>
      <w:r w:rsidR="00F25CD6">
        <w:rPr>
          <w:rFonts w:cstheme="minorHAnsi"/>
        </w:rPr>
        <w:t>5</w:t>
      </w:r>
      <w:r w:rsidRPr="00CD5B87">
        <w:rPr>
          <w:rFonts w:cstheme="minorHAnsi"/>
        </w:rPr>
        <w:t>. godi</w:t>
      </w:r>
      <w:r w:rsidR="004F1294">
        <w:rPr>
          <w:rFonts w:cstheme="minorHAnsi"/>
        </w:rPr>
        <w:t>n</w:t>
      </w:r>
      <w:r w:rsidR="007E3D70">
        <w:rPr>
          <w:rFonts w:cstheme="minorHAnsi"/>
        </w:rPr>
        <w:t>e</w:t>
      </w:r>
      <w:r w:rsidR="0089474E">
        <w:rPr>
          <w:rFonts w:cstheme="minorHAnsi"/>
        </w:rPr>
        <w:t xml:space="preserve"> izvršeni su u iznosu od </w:t>
      </w:r>
      <w:r w:rsidR="00F25CD6">
        <w:rPr>
          <w:rFonts w:cstheme="minorHAnsi"/>
        </w:rPr>
        <w:t>1.524.249,65</w:t>
      </w:r>
      <w:r w:rsidR="005C3EB6">
        <w:rPr>
          <w:rFonts w:cstheme="minorHAnsi"/>
        </w:rPr>
        <w:t xml:space="preserve"> eur</w:t>
      </w:r>
      <w:r w:rsidR="00F25CD6">
        <w:rPr>
          <w:rFonts w:cstheme="minorHAnsi"/>
        </w:rPr>
        <w:t>a</w:t>
      </w:r>
      <w:r w:rsidR="004A72CA">
        <w:rPr>
          <w:rFonts w:cstheme="minorHAnsi"/>
        </w:rPr>
        <w:t xml:space="preserve"> ili </w:t>
      </w:r>
      <w:r w:rsidR="00F25CD6">
        <w:rPr>
          <w:rFonts w:cstheme="minorHAnsi"/>
        </w:rPr>
        <w:t xml:space="preserve">37,69% </w:t>
      </w:r>
      <w:r w:rsidR="005031F8">
        <w:rPr>
          <w:rFonts w:cstheme="minorHAnsi"/>
        </w:rPr>
        <w:t>godišnjeg plana.</w:t>
      </w:r>
    </w:p>
    <w:p w14:paraId="6BE68013" w14:textId="0E433A02" w:rsidR="009B4DB6" w:rsidRPr="00C677FF" w:rsidRDefault="009B4DB6" w:rsidP="00C677F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C677FF">
        <w:rPr>
          <w:rFonts w:eastAsiaTheme="minorEastAsia" w:cstheme="minorHAnsi"/>
          <w:b/>
          <w:lang w:eastAsia="hr-HR"/>
        </w:rPr>
        <w:t>Rashod</w:t>
      </w:r>
      <w:r w:rsidR="00402A84">
        <w:rPr>
          <w:rFonts w:eastAsiaTheme="minorEastAsia" w:cstheme="minorHAnsi"/>
          <w:b/>
          <w:lang w:eastAsia="hr-HR"/>
        </w:rPr>
        <w:t>i</w:t>
      </w:r>
      <w:r w:rsidRPr="00C677FF">
        <w:rPr>
          <w:rFonts w:eastAsiaTheme="minorEastAsia" w:cstheme="minorHAnsi"/>
          <w:b/>
          <w:lang w:eastAsia="hr-HR"/>
        </w:rPr>
        <w:t xml:space="preserve"> za nabavu </w:t>
      </w:r>
      <w:proofErr w:type="spellStart"/>
      <w:r w:rsidRPr="00C677FF">
        <w:rPr>
          <w:rFonts w:eastAsiaTheme="minorEastAsia" w:cstheme="minorHAnsi"/>
          <w:b/>
          <w:lang w:eastAsia="hr-HR"/>
        </w:rPr>
        <w:t>neproizvedene</w:t>
      </w:r>
      <w:proofErr w:type="spellEnd"/>
      <w:r w:rsidRPr="00C677FF">
        <w:rPr>
          <w:rFonts w:eastAsiaTheme="minorEastAsia" w:cstheme="minorHAnsi"/>
          <w:b/>
          <w:lang w:eastAsia="hr-HR"/>
        </w:rPr>
        <w:t xml:space="preserve"> dugotrajne imovine</w:t>
      </w:r>
      <w:r w:rsidR="005031F8">
        <w:rPr>
          <w:rFonts w:eastAsiaTheme="minorEastAsia" w:cstheme="minorHAnsi"/>
          <w:lang w:eastAsia="hr-HR"/>
        </w:rPr>
        <w:t xml:space="preserve"> </w:t>
      </w:r>
      <w:r w:rsidRPr="00C677FF">
        <w:rPr>
          <w:rFonts w:eastAsiaTheme="minorEastAsia" w:cstheme="minorHAnsi"/>
          <w:lang w:eastAsia="hr-HR"/>
        </w:rPr>
        <w:t>u prvom polugodištu 202</w:t>
      </w:r>
      <w:r w:rsidR="00F25CD6">
        <w:rPr>
          <w:rFonts w:eastAsiaTheme="minorEastAsia" w:cstheme="minorHAnsi"/>
          <w:lang w:eastAsia="hr-HR"/>
        </w:rPr>
        <w:t>5</w:t>
      </w:r>
      <w:r w:rsidRPr="00C677FF">
        <w:rPr>
          <w:rFonts w:eastAsiaTheme="minorEastAsia" w:cstheme="minorHAnsi"/>
          <w:lang w:eastAsia="hr-HR"/>
        </w:rPr>
        <w:t>. godine nisu izvršeni te se njihovo izvršenje očekuje do kraja tekuće godine. Županijska uprava za ceste Primorsko – goranske županije u svom financijskom planu ima osigurana sredstva za izvlaštenja zemljišta na kojima se planiraju zahvati u korist gradnje i rekonstrukcije cesta</w:t>
      </w:r>
      <w:r w:rsidR="00C677FF">
        <w:rPr>
          <w:rFonts w:eastAsiaTheme="minorEastAsia" w:cstheme="minorHAnsi"/>
          <w:lang w:eastAsia="hr-HR"/>
        </w:rPr>
        <w:t>.</w:t>
      </w:r>
    </w:p>
    <w:p w14:paraId="2851A20F" w14:textId="124B6E87" w:rsidR="009B4DB6" w:rsidRPr="00C677FF" w:rsidRDefault="009B4DB6" w:rsidP="00C677F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C677FF">
        <w:rPr>
          <w:rFonts w:eastAsiaTheme="minorEastAsia" w:cstheme="minorHAnsi"/>
          <w:b/>
          <w:lang w:eastAsia="hr-HR"/>
        </w:rPr>
        <w:t>Rashod</w:t>
      </w:r>
      <w:r w:rsidR="00402A84">
        <w:rPr>
          <w:rFonts w:eastAsiaTheme="minorEastAsia" w:cstheme="minorHAnsi"/>
          <w:b/>
          <w:lang w:eastAsia="hr-HR"/>
        </w:rPr>
        <w:t>i</w:t>
      </w:r>
      <w:r w:rsidRPr="00C677FF">
        <w:rPr>
          <w:rFonts w:eastAsiaTheme="minorEastAsia" w:cstheme="minorHAnsi"/>
          <w:b/>
          <w:lang w:eastAsia="hr-HR"/>
        </w:rPr>
        <w:t xml:space="preserve"> za nabavu proizvedene dugotrajne imovine</w:t>
      </w:r>
      <w:r w:rsidR="005031F8">
        <w:rPr>
          <w:rFonts w:eastAsiaTheme="minorEastAsia" w:cstheme="minorHAnsi"/>
          <w:lang w:eastAsia="hr-HR"/>
        </w:rPr>
        <w:t xml:space="preserve"> </w:t>
      </w:r>
      <w:r w:rsidRPr="00C677FF">
        <w:rPr>
          <w:rFonts w:eastAsiaTheme="minorEastAsia" w:cstheme="minorHAnsi"/>
          <w:lang w:eastAsia="hr-HR"/>
        </w:rPr>
        <w:t>u prvom polugodištu 202</w:t>
      </w:r>
      <w:r w:rsidR="00F25CD6">
        <w:rPr>
          <w:rFonts w:eastAsiaTheme="minorEastAsia" w:cstheme="minorHAnsi"/>
          <w:lang w:eastAsia="hr-HR"/>
        </w:rPr>
        <w:t>5</w:t>
      </w:r>
      <w:r w:rsidRPr="00C677FF">
        <w:rPr>
          <w:rFonts w:eastAsiaTheme="minorEastAsia" w:cstheme="minorHAnsi"/>
          <w:lang w:eastAsia="hr-HR"/>
        </w:rPr>
        <w:t xml:space="preserve">. godine izvršeni su u iznosu </w:t>
      </w:r>
      <w:r w:rsidR="00AE4D50">
        <w:rPr>
          <w:rFonts w:eastAsiaTheme="minorEastAsia" w:cstheme="minorHAnsi"/>
          <w:lang w:eastAsia="hr-HR"/>
        </w:rPr>
        <w:t xml:space="preserve">od </w:t>
      </w:r>
      <w:r w:rsidR="00F25CD6">
        <w:rPr>
          <w:rFonts w:eastAsiaTheme="minorEastAsia" w:cstheme="minorHAnsi"/>
          <w:lang w:eastAsia="hr-HR"/>
        </w:rPr>
        <w:t>1.524.249,65</w:t>
      </w:r>
      <w:r w:rsidRPr="00C677FF">
        <w:rPr>
          <w:rFonts w:eastAsiaTheme="minorEastAsia" w:cstheme="minorHAnsi"/>
          <w:lang w:eastAsia="hr-HR"/>
        </w:rPr>
        <w:t xml:space="preserve"> eur</w:t>
      </w:r>
      <w:r w:rsidR="00F25CD6">
        <w:rPr>
          <w:rFonts w:eastAsiaTheme="minorEastAsia" w:cstheme="minorHAnsi"/>
          <w:lang w:eastAsia="hr-HR"/>
        </w:rPr>
        <w:t>a</w:t>
      </w:r>
      <w:r w:rsidRPr="00C677FF">
        <w:rPr>
          <w:rFonts w:eastAsiaTheme="minorEastAsia" w:cstheme="minorHAnsi"/>
          <w:lang w:eastAsia="hr-HR"/>
        </w:rPr>
        <w:t xml:space="preserve"> ili </w:t>
      </w:r>
      <w:r w:rsidR="00F25CD6">
        <w:rPr>
          <w:rFonts w:eastAsiaTheme="minorEastAsia" w:cstheme="minorHAnsi"/>
          <w:lang w:eastAsia="hr-HR"/>
        </w:rPr>
        <w:t>37,73</w:t>
      </w:r>
      <w:r w:rsidR="009E424A">
        <w:rPr>
          <w:rFonts w:eastAsiaTheme="minorEastAsia" w:cstheme="minorHAnsi"/>
          <w:lang w:eastAsia="hr-HR"/>
        </w:rPr>
        <w:t xml:space="preserve">% godišnje plana, te za </w:t>
      </w:r>
      <w:r w:rsidR="00546E00">
        <w:rPr>
          <w:rFonts w:eastAsiaTheme="minorEastAsia" w:cstheme="minorHAnsi"/>
          <w:lang w:eastAsia="hr-HR"/>
        </w:rPr>
        <w:t>1.006.756,13</w:t>
      </w:r>
      <w:r w:rsidRPr="00C677FF">
        <w:rPr>
          <w:rFonts w:eastAsiaTheme="minorEastAsia" w:cstheme="minorHAnsi"/>
          <w:lang w:eastAsia="hr-HR"/>
        </w:rPr>
        <w:t xml:space="preserve"> eur</w:t>
      </w:r>
      <w:r w:rsidR="00546E00">
        <w:rPr>
          <w:rFonts w:eastAsiaTheme="minorEastAsia" w:cstheme="minorHAnsi"/>
          <w:lang w:eastAsia="hr-HR"/>
        </w:rPr>
        <w:t>a</w:t>
      </w:r>
      <w:r w:rsidRPr="00C677FF">
        <w:rPr>
          <w:rFonts w:eastAsiaTheme="minorEastAsia" w:cstheme="minorHAnsi"/>
          <w:lang w:eastAsia="hr-HR"/>
        </w:rPr>
        <w:t xml:space="preserve"> više u odnosu na isto razdoblje </w:t>
      </w:r>
      <w:r w:rsidR="00C677FF">
        <w:rPr>
          <w:rFonts w:eastAsiaTheme="minorEastAsia" w:cstheme="minorHAnsi"/>
          <w:lang w:eastAsia="hr-HR"/>
        </w:rPr>
        <w:t xml:space="preserve">prethodne </w:t>
      </w:r>
      <w:r w:rsidR="009E424A">
        <w:rPr>
          <w:rFonts w:eastAsiaTheme="minorEastAsia" w:cstheme="minorHAnsi"/>
          <w:lang w:eastAsia="hr-HR"/>
        </w:rPr>
        <w:t>godine. R</w:t>
      </w:r>
      <w:r w:rsidRPr="00C677FF">
        <w:rPr>
          <w:rFonts w:eastAsiaTheme="minorEastAsia" w:cstheme="minorHAnsi"/>
          <w:lang w:eastAsia="hr-HR"/>
        </w:rPr>
        <w:t>azlog povećanja rashoda odnosi se na ulaganje u program gradnje cesta što povećava dugotrajnu imovinu Županijske uprave za ceste Primorsko-goranske županije.</w:t>
      </w:r>
    </w:p>
    <w:p w14:paraId="2D4FB1FC" w14:textId="24544749" w:rsidR="009B4DB6" w:rsidRPr="00C677FF" w:rsidRDefault="009E424A" w:rsidP="00C677F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cstheme="minorHAnsi"/>
        </w:rPr>
        <w:t>Izvršeni r</w:t>
      </w:r>
      <w:r w:rsidR="001647EA" w:rsidRPr="00C677FF">
        <w:rPr>
          <w:rFonts w:cstheme="minorHAnsi"/>
        </w:rPr>
        <w:t>ashod</w:t>
      </w:r>
      <w:r w:rsidR="009B4DB6" w:rsidRPr="00C677FF">
        <w:rPr>
          <w:rFonts w:cstheme="minorHAnsi"/>
        </w:rPr>
        <w:t>i</w:t>
      </w:r>
      <w:r w:rsidR="001647EA" w:rsidRPr="00C677FF">
        <w:rPr>
          <w:rFonts w:cstheme="minorHAnsi"/>
        </w:rPr>
        <w:t xml:space="preserve"> </w:t>
      </w:r>
      <w:r w:rsidR="004F1294" w:rsidRPr="00C677FF">
        <w:rPr>
          <w:rFonts w:cstheme="minorHAnsi"/>
        </w:rPr>
        <w:t xml:space="preserve">za </w:t>
      </w:r>
      <w:r>
        <w:rPr>
          <w:rFonts w:cstheme="minorHAnsi"/>
        </w:rPr>
        <w:t xml:space="preserve">nabavu </w:t>
      </w:r>
      <w:r w:rsidR="009B4DB6" w:rsidRPr="00C677FF">
        <w:rPr>
          <w:rFonts w:cstheme="minorHAnsi"/>
        </w:rPr>
        <w:t xml:space="preserve">proizvedene dugotrajne imovine odnose se na </w:t>
      </w:r>
      <w:r>
        <w:rPr>
          <w:rFonts w:cstheme="minorHAnsi"/>
        </w:rPr>
        <w:t xml:space="preserve">rashode za </w:t>
      </w:r>
      <w:r w:rsidR="0089474E" w:rsidRPr="00C677FF">
        <w:rPr>
          <w:rFonts w:eastAsiaTheme="minorEastAsia" w:cstheme="minorHAnsi"/>
          <w:lang w:eastAsia="hr-HR"/>
        </w:rPr>
        <w:t xml:space="preserve">gradnju i rekonstrukciju cesta u iznosu od </w:t>
      </w:r>
      <w:r w:rsidR="00546E00">
        <w:rPr>
          <w:rFonts w:eastAsiaTheme="minorEastAsia" w:cstheme="minorHAnsi"/>
          <w:lang w:eastAsia="hr-HR"/>
        </w:rPr>
        <w:t>1.490.350,15</w:t>
      </w:r>
      <w:r w:rsidR="0089474E" w:rsidRPr="00C677FF">
        <w:rPr>
          <w:rFonts w:eastAsiaTheme="minorEastAsia" w:cstheme="minorHAnsi"/>
          <w:lang w:eastAsia="hr-HR"/>
        </w:rPr>
        <w:t xml:space="preserve"> eur</w:t>
      </w:r>
      <w:r w:rsidR="00546E00">
        <w:rPr>
          <w:rFonts w:eastAsiaTheme="minorEastAsia" w:cstheme="minorHAnsi"/>
          <w:lang w:eastAsia="hr-HR"/>
        </w:rPr>
        <w:t>a</w:t>
      </w:r>
      <w:r w:rsidR="008C1C8E" w:rsidRPr="00C677FF">
        <w:rPr>
          <w:rFonts w:eastAsiaTheme="minorEastAsia" w:cstheme="minorHAnsi"/>
          <w:lang w:eastAsia="hr-HR"/>
        </w:rPr>
        <w:t xml:space="preserve"> ili </w:t>
      </w:r>
      <w:r w:rsidR="00546E00">
        <w:rPr>
          <w:rFonts w:eastAsiaTheme="minorEastAsia" w:cstheme="minorHAnsi"/>
          <w:lang w:eastAsia="hr-HR"/>
        </w:rPr>
        <w:t>37,38</w:t>
      </w:r>
      <w:r w:rsidR="008C1C8E" w:rsidRPr="00C677FF">
        <w:rPr>
          <w:rFonts w:eastAsiaTheme="minorEastAsia" w:cstheme="minorHAnsi"/>
          <w:lang w:eastAsia="hr-HR"/>
        </w:rPr>
        <w:t>% godišnjeg plana</w:t>
      </w:r>
      <w:r>
        <w:rPr>
          <w:rFonts w:eastAsiaTheme="minorEastAsia" w:cstheme="minorHAnsi"/>
          <w:lang w:eastAsia="hr-HR"/>
        </w:rPr>
        <w:t>, n</w:t>
      </w:r>
      <w:r w:rsidR="0089474E" w:rsidRPr="00C677FF">
        <w:rPr>
          <w:rFonts w:eastAsiaTheme="minorEastAsia" w:cstheme="minorHAnsi"/>
          <w:lang w:eastAsia="hr-HR"/>
        </w:rPr>
        <w:t xml:space="preserve">a </w:t>
      </w:r>
      <w:r>
        <w:rPr>
          <w:rFonts w:eastAsiaTheme="minorEastAsia" w:cstheme="minorHAnsi"/>
          <w:lang w:eastAsia="hr-HR"/>
        </w:rPr>
        <w:t xml:space="preserve">rashode za </w:t>
      </w:r>
      <w:r w:rsidR="0089474E" w:rsidRPr="00C677FF">
        <w:rPr>
          <w:rFonts w:eastAsiaTheme="minorEastAsia" w:cstheme="minorHAnsi"/>
          <w:lang w:eastAsia="hr-HR"/>
        </w:rPr>
        <w:t>nabavu uredske opreme</w:t>
      </w:r>
      <w:r w:rsidR="00546E00">
        <w:rPr>
          <w:rFonts w:eastAsiaTheme="minorEastAsia" w:cstheme="minorHAnsi"/>
          <w:lang w:eastAsia="hr-HR"/>
        </w:rPr>
        <w:t>,</w:t>
      </w:r>
      <w:r w:rsidR="0089474E" w:rsidRPr="00C677FF">
        <w:rPr>
          <w:rFonts w:eastAsiaTheme="minorEastAsia" w:cstheme="minorHAnsi"/>
          <w:lang w:eastAsia="hr-HR"/>
        </w:rPr>
        <w:t xml:space="preserve"> namještaja</w:t>
      </w:r>
      <w:r w:rsidR="00546E00">
        <w:rPr>
          <w:rFonts w:eastAsiaTheme="minorEastAsia" w:cstheme="minorHAnsi"/>
          <w:lang w:eastAsia="hr-HR"/>
        </w:rPr>
        <w:t xml:space="preserve"> i komunikacijske opreme</w:t>
      </w:r>
      <w:r w:rsidR="00C677FF" w:rsidRPr="00C677FF">
        <w:rPr>
          <w:rFonts w:eastAsiaTheme="minorEastAsia" w:cstheme="minorHAnsi"/>
          <w:lang w:eastAsia="hr-HR"/>
        </w:rPr>
        <w:t xml:space="preserve"> u iznosu od </w:t>
      </w:r>
      <w:r w:rsidR="0080099F">
        <w:rPr>
          <w:rFonts w:eastAsiaTheme="minorEastAsia" w:cstheme="minorHAnsi"/>
          <w:lang w:eastAsia="hr-HR"/>
        </w:rPr>
        <w:t>2.425,00</w:t>
      </w:r>
      <w:r w:rsidR="00C677FF" w:rsidRPr="00C677FF">
        <w:rPr>
          <w:rFonts w:eastAsiaTheme="minorEastAsia" w:cstheme="minorHAnsi"/>
          <w:lang w:eastAsia="hr-HR"/>
        </w:rPr>
        <w:t xml:space="preserve"> eur</w:t>
      </w:r>
      <w:r w:rsidR="00546E00">
        <w:rPr>
          <w:rFonts w:eastAsiaTheme="minorEastAsia" w:cstheme="minorHAnsi"/>
          <w:lang w:eastAsia="hr-HR"/>
        </w:rPr>
        <w:t>a</w:t>
      </w:r>
      <w:r w:rsidR="00C677FF" w:rsidRPr="00C677FF">
        <w:rPr>
          <w:rFonts w:eastAsiaTheme="minorEastAsia" w:cstheme="minorHAnsi"/>
          <w:lang w:eastAsia="hr-HR"/>
        </w:rPr>
        <w:t xml:space="preserve"> ili </w:t>
      </w:r>
      <w:r w:rsidR="0080099F">
        <w:rPr>
          <w:rFonts w:eastAsiaTheme="minorEastAsia" w:cstheme="minorHAnsi"/>
          <w:lang w:eastAsia="hr-HR"/>
        </w:rPr>
        <w:t>20,15</w:t>
      </w:r>
      <w:r w:rsidR="00C677FF" w:rsidRPr="00C677FF">
        <w:rPr>
          <w:rFonts w:eastAsiaTheme="minorEastAsia" w:cstheme="minorHAnsi"/>
          <w:lang w:eastAsia="hr-HR"/>
        </w:rPr>
        <w:t>% godišnjeg plana</w:t>
      </w:r>
      <w:r w:rsidR="00546E00">
        <w:rPr>
          <w:rFonts w:eastAsiaTheme="minorEastAsia" w:cstheme="minorHAnsi"/>
          <w:lang w:eastAsia="hr-HR"/>
        </w:rPr>
        <w:t xml:space="preserve"> te na rashode za nabavu prijevoznog sredstva u iznosu od 31.474,50 eura ili </w:t>
      </w:r>
      <w:r w:rsidR="007456B1">
        <w:rPr>
          <w:rFonts w:eastAsiaTheme="minorEastAsia" w:cstheme="minorHAnsi"/>
          <w:lang w:eastAsia="hr-HR"/>
        </w:rPr>
        <w:t>78,69% godišnjeg plana.</w:t>
      </w:r>
      <w:r w:rsidR="008C1C8E" w:rsidRPr="00C677FF">
        <w:rPr>
          <w:rFonts w:eastAsiaTheme="minorEastAsia" w:cstheme="minorHAnsi"/>
          <w:lang w:eastAsia="hr-HR"/>
        </w:rPr>
        <w:t xml:space="preserve"> </w:t>
      </w:r>
      <w:r w:rsidR="00E362C6" w:rsidRPr="00C677FF">
        <w:rPr>
          <w:rFonts w:eastAsiaTheme="minorEastAsia" w:cstheme="minorHAnsi"/>
          <w:lang w:eastAsia="hr-HR"/>
        </w:rPr>
        <w:t xml:space="preserve">Razlog </w:t>
      </w:r>
      <w:r w:rsidR="007456B1">
        <w:rPr>
          <w:rFonts w:eastAsiaTheme="minorEastAsia" w:cstheme="minorHAnsi"/>
          <w:lang w:eastAsia="hr-HR"/>
        </w:rPr>
        <w:t>niže</w:t>
      </w:r>
      <w:r w:rsidR="00E362C6" w:rsidRPr="00C677FF">
        <w:rPr>
          <w:rFonts w:eastAsiaTheme="minorEastAsia" w:cstheme="minorHAnsi"/>
          <w:lang w:eastAsia="hr-HR"/>
        </w:rPr>
        <w:t xml:space="preserve"> razine izvršenja rashoda za gradnju i rekonstrukciju cesta</w:t>
      </w:r>
      <w:r w:rsidR="005031F8">
        <w:rPr>
          <w:rFonts w:eastAsiaTheme="minorEastAsia" w:cstheme="minorHAnsi"/>
          <w:lang w:eastAsia="hr-HR"/>
        </w:rPr>
        <w:t xml:space="preserve"> u odnosu na plan za 2025. godinu</w:t>
      </w:r>
      <w:r w:rsidR="00E362C6" w:rsidRPr="00C677FF">
        <w:rPr>
          <w:rFonts w:eastAsiaTheme="minorEastAsia" w:cstheme="minorHAnsi"/>
          <w:lang w:eastAsia="hr-HR"/>
        </w:rPr>
        <w:t xml:space="preserve"> je što </w:t>
      </w:r>
      <w:r w:rsidR="005B1D37">
        <w:rPr>
          <w:rFonts w:eastAsiaTheme="minorEastAsia" w:cstheme="minorHAnsi"/>
          <w:lang w:eastAsia="hr-HR"/>
        </w:rPr>
        <w:t>se za dio radova</w:t>
      </w:r>
      <w:r w:rsidR="00E362C6" w:rsidRPr="00C677FF">
        <w:rPr>
          <w:rFonts w:eastAsiaTheme="minorEastAsia" w:cstheme="minorHAnsi"/>
          <w:lang w:eastAsia="hr-HR"/>
        </w:rPr>
        <w:t xml:space="preserve"> </w:t>
      </w:r>
      <w:r w:rsidR="005B1D37">
        <w:rPr>
          <w:rFonts w:eastAsiaTheme="minorEastAsia" w:cstheme="minorHAnsi"/>
          <w:lang w:eastAsia="hr-HR"/>
        </w:rPr>
        <w:t>vodi postupak nabave, dok pojedini radovi za koje su</w:t>
      </w:r>
      <w:r w:rsidR="00E362C6" w:rsidRPr="00C677FF">
        <w:rPr>
          <w:rFonts w:eastAsiaTheme="minorEastAsia" w:cstheme="minorHAnsi"/>
          <w:lang w:eastAsia="hr-HR"/>
        </w:rPr>
        <w:t xml:space="preserve"> sklopljeni ugovor</w:t>
      </w:r>
      <w:r w:rsidR="005B1D37">
        <w:rPr>
          <w:rFonts w:eastAsiaTheme="minorEastAsia" w:cstheme="minorHAnsi"/>
          <w:lang w:eastAsia="hr-HR"/>
        </w:rPr>
        <w:t>i</w:t>
      </w:r>
      <w:r w:rsidR="00E362C6" w:rsidRPr="00C677FF">
        <w:rPr>
          <w:rFonts w:eastAsiaTheme="minorEastAsia" w:cstheme="minorHAnsi"/>
          <w:lang w:eastAsia="hr-HR"/>
        </w:rPr>
        <w:t xml:space="preserve"> nisu izvršeni u cijelosti te se njihovo izvršenje </w:t>
      </w:r>
      <w:r w:rsidR="005031F8">
        <w:rPr>
          <w:rFonts w:eastAsiaTheme="minorEastAsia" w:cstheme="minorHAnsi"/>
          <w:lang w:eastAsia="hr-HR"/>
        </w:rPr>
        <w:t>očekuje do kraja tekuće godine.</w:t>
      </w:r>
    </w:p>
    <w:p w14:paraId="2046E125" w14:textId="2FB2A135" w:rsidR="002C402A" w:rsidRDefault="005C3EB6" w:rsidP="004A72CA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</w:t>
      </w:r>
      <w:r w:rsidR="004A72CA">
        <w:rPr>
          <w:rFonts w:cstheme="minorHAnsi"/>
        </w:rPr>
        <w:t xml:space="preserve">ablici </w:t>
      </w:r>
      <w:r w:rsidR="00C677FF">
        <w:rPr>
          <w:rFonts w:cstheme="minorHAnsi"/>
        </w:rPr>
        <w:t>8</w:t>
      </w:r>
      <w:r w:rsidR="004A72CA">
        <w:rPr>
          <w:rFonts w:cstheme="minorHAnsi"/>
        </w:rPr>
        <w:t>. koja slijedi prikazani su izvršeni</w:t>
      </w:r>
      <w:r w:rsidR="004A72CA" w:rsidRPr="00CD5B87">
        <w:rPr>
          <w:rFonts w:cstheme="minorHAnsi"/>
        </w:rPr>
        <w:t xml:space="preserve"> </w:t>
      </w:r>
      <w:r w:rsidR="008C1C8E">
        <w:rPr>
          <w:rFonts w:cstheme="minorHAnsi"/>
        </w:rPr>
        <w:t>rashodi za nabavu nefinancijske imovine</w:t>
      </w:r>
      <w:r w:rsidR="004A72CA">
        <w:rPr>
          <w:rFonts w:cstheme="minorHAnsi"/>
        </w:rPr>
        <w:t xml:space="preserve"> </w:t>
      </w:r>
      <w:r w:rsidR="004A72CA" w:rsidRPr="00CD5B87">
        <w:rPr>
          <w:rFonts w:cstheme="minorHAnsi"/>
        </w:rPr>
        <w:t>Županijske uprave za ceste</w:t>
      </w:r>
      <w:r w:rsidR="005215BC">
        <w:rPr>
          <w:rFonts w:cstheme="minorHAnsi"/>
        </w:rPr>
        <w:t xml:space="preserve"> Primorsko-goranske županije u </w:t>
      </w:r>
      <w:r w:rsidR="00C00AC9">
        <w:rPr>
          <w:rFonts w:cstheme="minorHAnsi"/>
        </w:rPr>
        <w:t xml:space="preserve">prvom polugodištu </w:t>
      </w:r>
      <w:r w:rsidR="004A72CA" w:rsidRPr="00CD5B87">
        <w:rPr>
          <w:rFonts w:cstheme="minorHAnsi"/>
        </w:rPr>
        <w:t>202</w:t>
      </w:r>
      <w:r w:rsidR="00E245A8">
        <w:rPr>
          <w:rFonts w:cstheme="minorHAnsi"/>
        </w:rPr>
        <w:t>5</w:t>
      </w:r>
      <w:r w:rsidR="004A72CA" w:rsidRPr="00CD5B87">
        <w:rPr>
          <w:rFonts w:cstheme="minorHAnsi"/>
        </w:rPr>
        <w:t>. godin</w:t>
      </w:r>
      <w:r w:rsidR="00C00AC9">
        <w:rPr>
          <w:rFonts w:cstheme="minorHAnsi"/>
        </w:rPr>
        <w:t>e</w:t>
      </w:r>
      <w:r w:rsidR="004A72CA" w:rsidRPr="00CD5B87">
        <w:rPr>
          <w:rFonts w:cstheme="minorHAnsi"/>
        </w:rPr>
        <w:t xml:space="preserve"> s usp</w:t>
      </w:r>
      <w:r w:rsidR="004A72CA">
        <w:rPr>
          <w:rFonts w:cstheme="minorHAnsi"/>
        </w:rPr>
        <w:t>orednim pokazateljima izvršenja</w:t>
      </w:r>
      <w:r w:rsidR="004A72CA" w:rsidRPr="00CD5B87">
        <w:rPr>
          <w:rFonts w:cstheme="minorHAnsi"/>
        </w:rPr>
        <w:t xml:space="preserve"> u </w:t>
      </w:r>
      <w:r w:rsidR="00C00AC9">
        <w:rPr>
          <w:rFonts w:cstheme="minorHAnsi"/>
        </w:rPr>
        <w:t xml:space="preserve">istom razdoblju </w:t>
      </w:r>
      <w:r w:rsidR="004A72CA" w:rsidRPr="00CD5B87">
        <w:rPr>
          <w:rFonts w:cstheme="minorHAnsi"/>
        </w:rPr>
        <w:t>202</w:t>
      </w:r>
      <w:r w:rsidR="00E245A8">
        <w:rPr>
          <w:rFonts w:cstheme="minorHAnsi"/>
        </w:rPr>
        <w:t>4</w:t>
      </w:r>
      <w:r w:rsidR="005215BC">
        <w:rPr>
          <w:rFonts w:cstheme="minorHAnsi"/>
        </w:rPr>
        <w:t>. godin</w:t>
      </w:r>
      <w:r w:rsidR="00C00AC9">
        <w:rPr>
          <w:rFonts w:cstheme="minorHAnsi"/>
        </w:rPr>
        <w:t>e</w:t>
      </w:r>
      <w:r w:rsidR="004A72CA">
        <w:rPr>
          <w:rFonts w:cstheme="minorHAnsi"/>
        </w:rPr>
        <w:t>.</w:t>
      </w:r>
    </w:p>
    <w:p w14:paraId="0FAF7BA2" w14:textId="16CAE52E" w:rsidR="00F8051A" w:rsidRDefault="00F8051A" w:rsidP="00C4089B">
      <w:pPr>
        <w:spacing w:line="259" w:lineRule="auto"/>
        <w:ind w:left="907" w:hanging="907"/>
        <w:jc w:val="both"/>
        <w:rPr>
          <w:color w:val="222A35" w:themeColor="text2" w:themeShade="80"/>
        </w:rPr>
      </w:pPr>
      <w:bookmarkStart w:id="42" w:name="_Toc204162100"/>
      <w:r w:rsidRPr="009E424A">
        <w:rPr>
          <w:color w:val="222A35" w:themeColor="text2" w:themeShade="80"/>
        </w:rPr>
        <w:t xml:space="preserve">Tablica </w:t>
      </w:r>
      <w:r w:rsidRPr="009E424A">
        <w:rPr>
          <w:color w:val="222A35" w:themeColor="text2" w:themeShade="80"/>
        </w:rPr>
        <w:fldChar w:fldCharType="begin"/>
      </w:r>
      <w:r w:rsidRPr="009E424A">
        <w:rPr>
          <w:color w:val="222A35" w:themeColor="text2" w:themeShade="80"/>
        </w:rPr>
        <w:instrText xml:space="preserve"> SEQ Tablica \* ARABIC </w:instrText>
      </w:r>
      <w:r w:rsidRPr="009E424A">
        <w:rPr>
          <w:color w:val="222A35" w:themeColor="text2" w:themeShade="80"/>
        </w:rPr>
        <w:fldChar w:fldCharType="separate"/>
      </w:r>
      <w:r w:rsidR="00E0332D">
        <w:rPr>
          <w:noProof/>
          <w:color w:val="222A35" w:themeColor="text2" w:themeShade="80"/>
        </w:rPr>
        <w:t>8</w:t>
      </w:r>
      <w:r w:rsidRPr="009E424A">
        <w:rPr>
          <w:color w:val="222A35" w:themeColor="text2" w:themeShade="80"/>
        </w:rPr>
        <w:fldChar w:fldCharType="end"/>
      </w:r>
      <w:r w:rsidRPr="009E424A">
        <w:rPr>
          <w:color w:val="222A35" w:themeColor="text2" w:themeShade="80"/>
        </w:rPr>
        <w:t>. Izvršenje rashoda za</w:t>
      </w:r>
      <w:r w:rsidR="00D10C51" w:rsidRPr="009E424A">
        <w:rPr>
          <w:color w:val="222A35" w:themeColor="text2" w:themeShade="80"/>
        </w:rPr>
        <w:t xml:space="preserve"> nabavu nefinancijske imovine u</w:t>
      </w:r>
      <w:r w:rsidRPr="009E424A">
        <w:rPr>
          <w:color w:val="222A35" w:themeColor="text2" w:themeShade="80"/>
        </w:rPr>
        <w:t xml:space="preserve"> </w:t>
      </w:r>
      <w:r w:rsidR="00C00AC9" w:rsidRPr="009E424A">
        <w:rPr>
          <w:color w:val="222A35" w:themeColor="text2" w:themeShade="80"/>
        </w:rPr>
        <w:t xml:space="preserve">prvom polugodištu </w:t>
      </w:r>
      <w:r w:rsidRPr="009E424A">
        <w:rPr>
          <w:color w:val="222A35" w:themeColor="text2" w:themeShade="80"/>
        </w:rPr>
        <w:t>202</w:t>
      </w:r>
      <w:r w:rsidR="00E245A8">
        <w:rPr>
          <w:color w:val="222A35" w:themeColor="text2" w:themeShade="80"/>
        </w:rPr>
        <w:t>5</w:t>
      </w:r>
      <w:r w:rsidR="00D10C51" w:rsidRPr="009E424A">
        <w:rPr>
          <w:color w:val="222A35" w:themeColor="text2" w:themeShade="80"/>
        </w:rPr>
        <w:t>. godin</w:t>
      </w:r>
      <w:r w:rsidR="00C00AC9" w:rsidRPr="009E424A">
        <w:rPr>
          <w:color w:val="222A35" w:themeColor="text2" w:themeShade="80"/>
        </w:rPr>
        <w:t>e</w:t>
      </w:r>
      <w:r w:rsidRPr="009E424A">
        <w:rPr>
          <w:color w:val="222A35" w:themeColor="text2" w:themeShade="80"/>
        </w:rPr>
        <w:t xml:space="preserve"> s uspor</w:t>
      </w:r>
      <w:r w:rsidR="00D10C51" w:rsidRPr="009E424A">
        <w:rPr>
          <w:color w:val="222A35" w:themeColor="text2" w:themeShade="80"/>
        </w:rPr>
        <w:t>ednim pokazateljima izvršenja u</w:t>
      </w:r>
      <w:r w:rsidR="00C4089B" w:rsidRPr="009E424A">
        <w:rPr>
          <w:color w:val="222A35" w:themeColor="text2" w:themeShade="80"/>
        </w:rPr>
        <w:t xml:space="preserve"> istom razdoblju</w:t>
      </w:r>
      <w:r w:rsidRPr="009E424A">
        <w:rPr>
          <w:color w:val="222A35" w:themeColor="text2" w:themeShade="80"/>
        </w:rPr>
        <w:t xml:space="preserve"> 202</w:t>
      </w:r>
      <w:r w:rsidR="00E245A8">
        <w:rPr>
          <w:color w:val="222A35" w:themeColor="text2" w:themeShade="80"/>
        </w:rPr>
        <w:t>4</w:t>
      </w:r>
      <w:r w:rsidRPr="009E424A">
        <w:rPr>
          <w:color w:val="222A35" w:themeColor="text2" w:themeShade="80"/>
        </w:rPr>
        <w:t>. godin</w:t>
      </w:r>
      <w:r w:rsidR="00C00AC9" w:rsidRPr="009E424A">
        <w:rPr>
          <w:color w:val="222A35" w:themeColor="text2" w:themeShade="80"/>
        </w:rPr>
        <w:t>e</w:t>
      </w:r>
      <w:bookmarkEnd w:id="42"/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1059"/>
        <w:gridCol w:w="1180"/>
        <w:gridCol w:w="1180"/>
        <w:gridCol w:w="719"/>
        <w:gridCol w:w="706"/>
      </w:tblGrid>
      <w:tr w:rsidR="00F25CD6" w:rsidRPr="00FD20E4" w14:paraId="4A329449" w14:textId="77777777" w:rsidTr="00B12032">
        <w:trPr>
          <w:trHeight w:val="48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727CE37B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3C2FD075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I-VI 2024.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15CEC34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Izvorni plan </w:t>
            </w: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4DE363F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I-VI 2025.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BD3E0EF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Indeks </w:t>
            </w: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>4./2.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1A6906B2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Indeks </w:t>
            </w:r>
            <w:r w:rsidRPr="00FD20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br/>
              <w:t xml:space="preserve">4./3. </w:t>
            </w:r>
          </w:p>
        </w:tc>
      </w:tr>
      <w:tr w:rsidR="00F25CD6" w:rsidRPr="00FD20E4" w14:paraId="7190F675" w14:textId="77777777" w:rsidTr="00B12032">
        <w:trPr>
          <w:trHeight w:val="6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116F8226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7DE0A62C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E53D2EE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0CFD27F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FCB2A68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50268A35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F25CD6" w:rsidRPr="00FD20E4" w14:paraId="25522490" w14:textId="77777777" w:rsidTr="00B12032">
        <w:trPr>
          <w:trHeight w:val="340"/>
          <w:jc w:val="center"/>
        </w:trPr>
        <w:tc>
          <w:tcPr>
            <w:tcW w:w="5052" w:type="dxa"/>
            <w:shd w:val="clear" w:color="auto" w:fill="BDD6EE" w:themeFill="accent5" w:themeFillTint="66"/>
            <w:vAlign w:val="center"/>
            <w:hideMark/>
          </w:tcPr>
          <w:p w14:paraId="614BD339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059" w:type="dxa"/>
            <w:shd w:val="clear" w:color="auto" w:fill="BDD6EE" w:themeFill="accent5" w:themeFillTint="66"/>
            <w:vAlign w:val="center"/>
            <w:hideMark/>
          </w:tcPr>
          <w:p w14:paraId="34F32120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517.493,52</w:t>
            </w:r>
          </w:p>
        </w:tc>
        <w:tc>
          <w:tcPr>
            <w:tcW w:w="1180" w:type="dxa"/>
            <w:shd w:val="clear" w:color="auto" w:fill="BDD6EE" w:themeFill="accent5" w:themeFillTint="66"/>
            <w:vAlign w:val="center"/>
            <w:hideMark/>
          </w:tcPr>
          <w:p w14:paraId="6E4AA648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4.044.403,66</w:t>
            </w:r>
          </w:p>
        </w:tc>
        <w:tc>
          <w:tcPr>
            <w:tcW w:w="1180" w:type="dxa"/>
            <w:shd w:val="clear" w:color="auto" w:fill="BDD6EE" w:themeFill="accent5" w:themeFillTint="66"/>
            <w:vAlign w:val="center"/>
            <w:hideMark/>
          </w:tcPr>
          <w:p w14:paraId="40DA1A4F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1.524.249,65</w:t>
            </w:r>
          </w:p>
        </w:tc>
        <w:tc>
          <w:tcPr>
            <w:tcW w:w="719" w:type="dxa"/>
            <w:shd w:val="clear" w:color="auto" w:fill="BDD6EE" w:themeFill="accent5" w:themeFillTint="66"/>
            <w:vAlign w:val="center"/>
            <w:hideMark/>
          </w:tcPr>
          <w:p w14:paraId="0A300FCF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294,54</w:t>
            </w:r>
          </w:p>
        </w:tc>
        <w:tc>
          <w:tcPr>
            <w:tcW w:w="706" w:type="dxa"/>
            <w:shd w:val="clear" w:color="auto" w:fill="BDD6EE" w:themeFill="accent5" w:themeFillTint="66"/>
            <w:vAlign w:val="center"/>
            <w:hideMark/>
          </w:tcPr>
          <w:p w14:paraId="70DB3A22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37,69</w:t>
            </w:r>
          </w:p>
        </w:tc>
      </w:tr>
      <w:tr w:rsidR="00F25CD6" w:rsidRPr="00FD20E4" w14:paraId="4FFE3EDC" w14:textId="77777777" w:rsidTr="00B12032">
        <w:trPr>
          <w:trHeight w:val="340"/>
          <w:jc w:val="center"/>
        </w:trPr>
        <w:tc>
          <w:tcPr>
            <w:tcW w:w="5052" w:type="dxa"/>
            <w:shd w:val="clear" w:color="auto" w:fill="DEEAF6" w:themeFill="accent5" w:themeFillTint="33"/>
            <w:vAlign w:val="center"/>
            <w:hideMark/>
          </w:tcPr>
          <w:p w14:paraId="5B5165AD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059" w:type="dxa"/>
            <w:shd w:val="clear" w:color="auto" w:fill="DEEAF6" w:themeFill="accent5" w:themeFillTint="33"/>
            <w:vAlign w:val="center"/>
            <w:hideMark/>
          </w:tcPr>
          <w:p w14:paraId="5CB694FB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637E5A0B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01513151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  <w:hideMark/>
          </w:tcPr>
          <w:p w14:paraId="22DD9152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shd w:val="clear" w:color="auto" w:fill="DEEAF6" w:themeFill="accent5" w:themeFillTint="33"/>
            <w:vAlign w:val="center"/>
            <w:hideMark/>
          </w:tcPr>
          <w:p w14:paraId="291CC6AA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25CD6" w:rsidRPr="00FD20E4" w14:paraId="159A7CD0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67BE70F9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 Materijalna imovina – prirodna bogatstva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1000E9F6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E1C2C41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9DA81B1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EAE5976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01AAEEDE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25CD6" w:rsidRPr="00FD20E4" w14:paraId="4239B73D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62B2F9F3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072BCD93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67A4244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B4CF795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2C2D08B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26C72DED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25CD6" w:rsidRPr="00FD20E4" w14:paraId="2C5EF2DD" w14:textId="77777777" w:rsidTr="00B12032">
        <w:trPr>
          <w:trHeight w:val="340"/>
          <w:jc w:val="center"/>
        </w:trPr>
        <w:tc>
          <w:tcPr>
            <w:tcW w:w="5052" w:type="dxa"/>
            <w:shd w:val="clear" w:color="auto" w:fill="DEEAF6" w:themeFill="accent5" w:themeFillTint="33"/>
            <w:vAlign w:val="center"/>
            <w:hideMark/>
          </w:tcPr>
          <w:p w14:paraId="3B376658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059" w:type="dxa"/>
            <w:shd w:val="clear" w:color="auto" w:fill="DEEAF6" w:themeFill="accent5" w:themeFillTint="33"/>
            <w:vAlign w:val="center"/>
            <w:hideMark/>
          </w:tcPr>
          <w:p w14:paraId="575E06DF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517.493,52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4D3A8F19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4.039.403,66</w:t>
            </w:r>
          </w:p>
        </w:tc>
        <w:tc>
          <w:tcPr>
            <w:tcW w:w="1180" w:type="dxa"/>
            <w:shd w:val="clear" w:color="auto" w:fill="DEEAF6" w:themeFill="accent5" w:themeFillTint="33"/>
            <w:vAlign w:val="center"/>
            <w:hideMark/>
          </w:tcPr>
          <w:p w14:paraId="5A90961C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1.524.249,65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  <w:hideMark/>
          </w:tcPr>
          <w:p w14:paraId="77DB9CD1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294,54</w:t>
            </w:r>
          </w:p>
        </w:tc>
        <w:tc>
          <w:tcPr>
            <w:tcW w:w="706" w:type="dxa"/>
            <w:shd w:val="clear" w:color="auto" w:fill="DEEAF6" w:themeFill="accent5" w:themeFillTint="33"/>
            <w:vAlign w:val="center"/>
            <w:hideMark/>
          </w:tcPr>
          <w:p w14:paraId="3F1BE64D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37,73</w:t>
            </w:r>
          </w:p>
        </w:tc>
      </w:tr>
      <w:tr w:rsidR="00F25CD6" w:rsidRPr="00FD20E4" w14:paraId="1D34A865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5197C86C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46F0C3A8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514.429,89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D8ED781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3.987.366,88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BEE30AE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1.490.350,15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BCE3B42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289,71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41C427B8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37,38</w:t>
            </w:r>
          </w:p>
        </w:tc>
      </w:tr>
      <w:tr w:rsidR="00F25CD6" w:rsidRPr="00FD20E4" w14:paraId="3B37419D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082CE969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3E0315E5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514.429,89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76BC73D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3.987.366,88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CC728DB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1.490.350,15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F772E28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289,71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3A326AC8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37,38</w:t>
            </w:r>
          </w:p>
        </w:tc>
      </w:tr>
      <w:tr w:rsidR="00F25CD6" w:rsidRPr="00FD20E4" w14:paraId="7BA4D3F1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51DCFE66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26186B25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3.063,63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1D326FD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12.036,78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C8B6264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2.425,00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A4A9628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79,15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5A6F51E0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20,15</w:t>
            </w:r>
          </w:p>
        </w:tc>
      </w:tr>
      <w:tr w:rsidR="00F25CD6" w:rsidRPr="00FD20E4" w14:paraId="6384CCC7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7D63AF05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743E575D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3.063,63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6AA7111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9.036,78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3C04A68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1.575,00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2F33839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51,41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67C09E46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17,43</w:t>
            </w:r>
          </w:p>
        </w:tc>
      </w:tr>
      <w:tr w:rsidR="00F25CD6" w:rsidRPr="00FD20E4" w14:paraId="5B68D226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78B0D6F7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3333B86B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236AFEB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707BC69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ED3F385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1431F3F6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42,50</w:t>
            </w:r>
          </w:p>
        </w:tc>
      </w:tr>
      <w:tr w:rsidR="00F25CD6" w:rsidRPr="00FD20E4" w14:paraId="6F7E33F7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5F52D4F8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4223 Oprema za održavanje i zaštitu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07C10DC8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43A6369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F047E00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A628B16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017E909B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25CD6" w:rsidRPr="00FD20E4" w14:paraId="76C14B76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579C8AA2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2B7F50A1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E44F9EB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7348682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51916C6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6E8B72D5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78,69</w:t>
            </w:r>
          </w:p>
        </w:tc>
      </w:tr>
      <w:tr w:rsidR="00F25CD6" w:rsidRPr="00FD20E4" w14:paraId="140AD162" w14:textId="77777777" w:rsidTr="00B12032">
        <w:trPr>
          <w:trHeight w:val="340"/>
          <w:jc w:val="center"/>
        </w:trPr>
        <w:tc>
          <w:tcPr>
            <w:tcW w:w="5052" w:type="dxa"/>
            <w:shd w:val="clear" w:color="000000" w:fill="FFFFFF"/>
            <w:vAlign w:val="center"/>
            <w:hideMark/>
          </w:tcPr>
          <w:p w14:paraId="7078F842" w14:textId="77777777" w:rsidR="00F25CD6" w:rsidRPr="00FD20E4" w:rsidRDefault="00F25CD6" w:rsidP="00B1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6BD8E8B2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B63E414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231D75D" w14:textId="77777777" w:rsidR="00F25CD6" w:rsidRPr="00FD20E4" w:rsidRDefault="00F25CD6" w:rsidP="00B12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D1FED9E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1CEB9048" w14:textId="77777777" w:rsidR="00F25CD6" w:rsidRPr="00FD20E4" w:rsidRDefault="00F25CD6" w:rsidP="00B1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2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78,69</w:t>
            </w:r>
          </w:p>
        </w:tc>
      </w:tr>
    </w:tbl>
    <w:p w14:paraId="5045666B" w14:textId="77777777" w:rsidR="00F25CD6" w:rsidRDefault="00F25CD6" w:rsidP="00C4089B">
      <w:pPr>
        <w:spacing w:line="259" w:lineRule="auto"/>
        <w:ind w:left="907" w:hanging="907"/>
        <w:jc w:val="both"/>
        <w:rPr>
          <w:color w:val="222A35" w:themeColor="text2" w:themeShade="80"/>
        </w:rPr>
      </w:pPr>
    </w:p>
    <w:p w14:paraId="3AFCF642" w14:textId="5BCF4161" w:rsidR="00824864" w:rsidRPr="00824864" w:rsidRDefault="00175536" w:rsidP="00824864">
      <w:pPr>
        <w:pStyle w:val="Naslov4"/>
        <w:spacing w:before="480"/>
      </w:pPr>
      <w:bookmarkStart w:id="43" w:name="_Toc204162379"/>
      <w:r>
        <w:lastRenderedPageBreak/>
        <w:t>IZDACI</w:t>
      </w:r>
      <w:r w:rsidR="00C1393A" w:rsidRPr="00CD5B87">
        <w:t xml:space="preserve"> ZA </w:t>
      </w:r>
      <w:r w:rsidR="00C1393A" w:rsidRPr="00D6386A">
        <w:t>FINANCIJSKU</w:t>
      </w:r>
      <w:r w:rsidR="00C1393A" w:rsidRPr="00CD5B87">
        <w:t xml:space="preserve"> IMOVINU I OTPLATE ZAJMOVA</w:t>
      </w:r>
      <w:bookmarkEnd w:id="43"/>
    </w:p>
    <w:p w14:paraId="3699D860" w14:textId="649FADED" w:rsidR="00E362C6" w:rsidRDefault="00C1393A" w:rsidP="00E362C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cstheme="minorHAnsi"/>
        </w:rPr>
        <w:t>Izdaci</w:t>
      </w:r>
      <w:r w:rsidRPr="00CD5B87">
        <w:rPr>
          <w:rFonts w:cstheme="minorHAnsi"/>
        </w:rPr>
        <w:t xml:space="preserve"> za financijsku imovinu i otplate zajmova izvršeni su </w:t>
      </w:r>
      <w:r>
        <w:rPr>
          <w:rFonts w:cstheme="minorHAnsi"/>
        </w:rPr>
        <w:t xml:space="preserve">u iznosu od </w:t>
      </w:r>
      <w:r w:rsidR="00E362C6">
        <w:rPr>
          <w:rFonts w:cstheme="minorHAnsi"/>
        </w:rPr>
        <w:t>200.000,00</w:t>
      </w:r>
      <w:r>
        <w:rPr>
          <w:rFonts w:cstheme="minorHAnsi"/>
        </w:rPr>
        <w:t xml:space="preserve"> eur</w:t>
      </w:r>
      <w:r w:rsidR="00E245A8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E362C6">
        <w:rPr>
          <w:rFonts w:cstheme="minorHAnsi"/>
        </w:rPr>
        <w:t>50</w:t>
      </w:r>
      <w:r>
        <w:rPr>
          <w:rFonts w:cstheme="minorHAnsi"/>
        </w:rPr>
        <w:t>% godišnjeg plana</w:t>
      </w:r>
      <w:r w:rsidRPr="00CD5B87">
        <w:rPr>
          <w:rFonts w:cstheme="minorHAnsi"/>
        </w:rPr>
        <w:t xml:space="preserve">, </w:t>
      </w:r>
      <w:r w:rsidR="00E362C6">
        <w:rPr>
          <w:rFonts w:cstheme="minorHAnsi"/>
        </w:rPr>
        <w:t xml:space="preserve">a </w:t>
      </w:r>
      <w:r w:rsidR="00E362C6" w:rsidRPr="00563B26">
        <w:rPr>
          <w:rFonts w:eastAsiaTheme="minorEastAsia" w:cstheme="minorHAnsi"/>
          <w:lang w:eastAsia="hr-HR"/>
        </w:rPr>
        <w:t>odnose se na izdatke za otplatu glavnice primljenog dugoročnog kredita od Privredne banke d.d. Zagreb</w:t>
      </w:r>
      <w:r w:rsidR="00E362C6">
        <w:rPr>
          <w:rFonts w:eastAsiaTheme="minorEastAsia" w:cstheme="minorHAnsi"/>
          <w:lang w:eastAsia="hr-HR"/>
        </w:rPr>
        <w:t xml:space="preserve"> s krajnjim rokom povrata 31. prosinca 2028. godine</w:t>
      </w:r>
      <w:r w:rsidR="00E362C6" w:rsidRPr="00563B26">
        <w:rPr>
          <w:rFonts w:eastAsiaTheme="minorEastAsia" w:cstheme="minorHAnsi"/>
          <w:lang w:eastAsia="hr-HR"/>
        </w:rPr>
        <w:t>.</w:t>
      </w:r>
      <w:r w:rsidR="00E362C6">
        <w:rPr>
          <w:rFonts w:eastAsiaTheme="minorEastAsia" w:cstheme="minorHAnsi"/>
          <w:lang w:eastAsia="hr-HR"/>
        </w:rPr>
        <w:t xml:space="preserve"> Otplata kredita vrši se u tromjesečnim ratama svaka po 100.000,00 eur</w:t>
      </w:r>
      <w:r w:rsidR="00E245A8">
        <w:rPr>
          <w:rFonts w:eastAsiaTheme="minorEastAsia" w:cstheme="minorHAnsi"/>
          <w:lang w:eastAsia="hr-HR"/>
        </w:rPr>
        <w:t>a</w:t>
      </w:r>
      <w:r w:rsidR="00E362C6">
        <w:rPr>
          <w:rFonts w:eastAsiaTheme="minorEastAsia" w:cstheme="minorHAnsi"/>
          <w:lang w:eastAsia="hr-HR"/>
        </w:rPr>
        <w:t xml:space="preserve"> od kojih prva dospijeva 31.03.2024. godine, a posljednja 31.12.2028. godine.</w:t>
      </w:r>
    </w:p>
    <w:p w14:paraId="66B711A6" w14:textId="4635BD91" w:rsidR="00A11BC3" w:rsidRDefault="00A11BC3">
      <w:pPr>
        <w:spacing w:line="259" w:lineRule="auto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br w:type="page"/>
      </w:r>
    </w:p>
    <w:p w14:paraId="71DB0AF3" w14:textId="1921B63C" w:rsidR="00B94FD7" w:rsidRDefault="00B94FD7" w:rsidP="00EC6EAF">
      <w:pPr>
        <w:pStyle w:val="Naslov1"/>
      </w:pPr>
      <w:bookmarkStart w:id="44" w:name="_Toc204162380"/>
      <w:r>
        <w:lastRenderedPageBreak/>
        <w:t xml:space="preserve">POSEBNI </w:t>
      </w:r>
      <w:r w:rsidRPr="00D012A9">
        <w:t>IZVJEŠTAJ</w:t>
      </w:r>
      <w:r>
        <w:t>I</w:t>
      </w:r>
      <w:r w:rsidR="00FD0570">
        <w:t xml:space="preserve"> O IZVRŠENJU FINANCIJSKOG PLANA</w:t>
      </w:r>
      <w:bookmarkEnd w:id="44"/>
      <w:r w:rsidR="00FD0570">
        <w:t xml:space="preserve"> </w:t>
      </w:r>
    </w:p>
    <w:p w14:paraId="7B3FF254" w14:textId="1D5C5D96" w:rsidR="00B94FD7" w:rsidRDefault="00B94FD7" w:rsidP="00EC6EAF">
      <w:pPr>
        <w:pStyle w:val="Naslov2"/>
      </w:pPr>
      <w:bookmarkStart w:id="45" w:name="_Toc204162381"/>
      <w:r>
        <w:t xml:space="preserve">IZVJEŠTAJ </w:t>
      </w:r>
      <w:r w:rsidRPr="00D012A9">
        <w:t xml:space="preserve">O ZADUŽIVANJU NA </w:t>
      </w:r>
      <w:r w:rsidR="00FD0570">
        <w:t>DOMAĆEM TRŽIŠTU NOVCA</w:t>
      </w:r>
      <w:bookmarkEnd w:id="45"/>
      <w:r w:rsidR="00FD0570">
        <w:t xml:space="preserve"> </w:t>
      </w:r>
    </w:p>
    <w:p w14:paraId="60B45B0E" w14:textId="2CA4CD8B" w:rsidR="00BC0E38" w:rsidRDefault="00B94FD7" w:rsidP="00B94FD7">
      <w:pPr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D938B3">
        <w:t xml:space="preserve">U </w:t>
      </w:r>
      <w:r w:rsidR="00E362C6">
        <w:t xml:space="preserve">prvom polugodištu </w:t>
      </w:r>
      <w:r>
        <w:t>202</w:t>
      </w:r>
      <w:r w:rsidR="000934B0">
        <w:t>5</w:t>
      </w:r>
      <w:r>
        <w:t>. godin</w:t>
      </w:r>
      <w:r w:rsidR="00E362C6">
        <w:t>e</w:t>
      </w:r>
      <w:r>
        <w:t xml:space="preserve"> </w:t>
      </w:r>
      <w:r w:rsidRPr="00952A77">
        <w:rPr>
          <w:rFonts w:ascii="Calibri" w:hAnsi="Calibri" w:cs="Calibri"/>
        </w:rPr>
        <w:t>Županijska uprava za ceste</w:t>
      </w:r>
      <w:r>
        <w:rPr>
          <w:rFonts w:ascii="Calibri" w:hAnsi="Calibri" w:cs="Calibri"/>
        </w:rPr>
        <w:t xml:space="preserve"> Primorsko-goranske županije podmirila</w:t>
      </w:r>
      <w:r w:rsidR="00BC0E38">
        <w:rPr>
          <w:rFonts w:ascii="Calibri" w:hAnsi="Calibri" w:cs="Calibri"/>
        </w:rPr>
        <w:t xml:space="preserve"> je dospjele</w:t>
      </w:r>
      <w:r>
        <w:rPr>
          <w:rFonts w:ascii="Calibri" w:hAnsi="Calibri" w:cs="Calibri"/>
        </w:rPr>
        <w:t xml:space="preserve"> obveze po </w:t>
      </w:r>
      <w:r w:rsidRPr="00952A77">
        <w:rPr>
          <w:rFonts w:ascii="Calibri" w:hAnsi="Calibri" w:cs="Calibri"/>
        </w:rPr>
        <w:t>dugoročnom kreditu</w:t>
      </w:r>
      <w:r>
        <w:rPr>
          <w:rFonts w:ascii="Calibri" w:hAnsi="Calibri" w:cs="Calibri"/>
        </w:rPr>
        <w:t xml:space="preserve"> koji je koristila</w:t>
      </w:r>
      <w:r w:rsidR="00BC0E38">
        <w:rPr>
          <w:rFonts w:ascii="Calibri" w:hAnsi="Calibri" w:cs="Calibri"/>
        </w:rPr>
        <w:t xml:space="preserve"> u toku 2023. godine i </w:t>
      </w:r>
      <w:r>
        <w:rPr>
          <w:rFonts w:eastAsiaTheme="minorEastAsia" w:cstheme="minorHAnsi"/>
          <w:lang w:eastAsia="hr-HR"/>
        </w:rPr>
        <w:t>za koji se Županijska uprava za ceste Primorsko-goranske županije zadužila kod Privredn</w:t>
      </w:r>
      <w:r w:rsidR="00FD0570">
        <w:rPr>
          <w:rFonts w:eastAsiaTheme="minorEastAsia" w:cstheme="minorHAnsi"/>
          <w:lang w:eastAsia="hr-HR"/>
        </w:rPr>
        <w:t xml:space="preserve">e banke Zagreb d.d. </w:t>
      </w:r>
    </w:p>
    <w:p w14:paraId="45218C6C" w14:textId="25629BE1" w:rsidR="00B94FD7" w:rsidRDefault="00FD0570" w:rsidP="00B94FD7">
      <w:pPr>
        <w:spacing w:before="120" w:after="120" w:line="240" w:lineRule="auto"/>
        <w:jc w:val="both"/>
      </w:pPr>
      <w:r>
        <w:rPr>
          <w:rFonts w:eastAsiaTheme="minorEastAsia" w:cstheme="minorHAnsi"/>
          <w:lang w:eastAsia="hr-HR"/>
        </w:rPr>
        <w:t>Kredit se</w:t>
      </w:r>
      <w:r w:rsidR="00BC0E38">
        <w:rPr>
          <w:rFonts w:eastAsiaTheme="minorEastAsia" w:cstheme="minorHAnsi"/>
          <w:lang w:eastAsia="hr-HR"/>
        </w:rPr>
        <w:t xml:space="preserve"> </w:t>
      </w:r>
      <w:r w:rsidR="00B94FD7">
        <w:rPr>
          <w:rFonts w:eastAsiaTheme="minorEastAsia" w:cstheme="minorHAnsi"/>
          <w:lang w:eastAsia="hr-HR"/>
        </w:rPr>
        <w:t xml:space="preserve">iskoristio za sanaciju i rekonstrukciju cesta na području Gorskog kotara, a sukladno Odluci o davanju suglasnosti za dugoročno zaduženje Županijske skupštine Primorko-goranske županije KLASA: 024-04/23-01/1, URBROJ: 2170-01-01/5-23-31 od 16.veljače 2023. godine. Ugovoreni iznos kredita je </w:t>
      </w:r>
      <w:r>
        <w:rPr>
          <w:lang w:eastAsia="hr-HR"/>
        </w:rPr>
        <w:t>2.000.000,00 eur</w:t>
      </w:r>
      <w:r w:rsidR="00E245A8">
        <w:rPr>
          <w:lang w:eastAsia="hr-HR"/>
        </w:rPr>
        <w:t>a</w:t>
      </w:r>
      <w:r w:rsidR="00B94FD7">
        <w:rPr>
          <w:lang w:eastAsia="hr-HR"/>
        </w:rPr>
        <w:t xml:space="preserve"> na rok po</w:t>
      </w:r>
      <w:r>
        <w:rPr>
          <w:lang w:eastAsia="hr-HR"/>
        </w:rPr>
        <w:t>vrata od 5 godina</w:t>
      </w:r>
      <w:r w:rsidR="00824864">
        <w:rPr>
          <w:lang w:eastAsia="hr-HR"/>
        </w:rPr>
        <w:t xml:space="preserve">. </w:t>
      </w:r>
      <w:r>
        <w:rPr>
          <w:lang w:eastAsia="hr-HR"/>
        </w:rPr>
        <w:t xml:space="preserve">Kredit se </w:t>
      </w:r>
      <w:r w:rsidR="00B94FD7">
        <w:rPr>
          <w:lang w:eastAsia="hr-HR"/>
        </w:rPr>
        <w:t xml:space="preserve">koristio sukcesivno i to na način da </w:t>
      </w:r>
      <w:r w:rsidR="00B04255">
        <w:rPr>
          <w:lang w:eastAsia="hr-HR"/>
        </w:rPr>
        <w:t xml:space="preserve">je </w:t>
      </w:r>
      <w:r w:rsidR="00B94FD7">
        <w:rPr>
          <w:lang w:eastAsia="hr-HR"/>
        </w:rPr>
        <w:t>banaka vrši</w:t>
      </w:r>
      <w:r w:rsidR="00B04255">
        <w:rPr>
          <w:lang w:eastAsia="hr-HR"/>
        </w:rPr>
        <w:t>la</w:t>
      </w:r>
      <w:r w:rsidR="00B94FD7">
        <w:rPr>
          <w:lang w:eastAsia="hr-HR"/>
        </w:rPr>
        <w:t xml:space="preserve"> plaćanje na račun dobavljača odnosno izvođača radova temeljem faktura, ovjerenih situacija, te ostale pravovaljane dokumentacije. Krajnji rok za iskorištenje kredita bio je 31.12.2023. godine. Ugovorena je fiksna redovna kamatna stopa u visini 1,60% godišnje, obračun kamate vrši se tromjesečno na zadnji dan svakog tromjesečja, a povrat kredita </w:t>
      </w:r>
      <w:r w:rsidR="00BC0E38">
        <w:rPr>
          <w:lang w:eastAsia="hr-HR"/>
        </w:rPr>
        <w:t>vrši</w:t>
      </w:r>
      <w:r w:rsidR="00B94FD7">
        <w:rPr>
          <w:lang w:eastAsia="hr-HR"/>
        </w:rPr>
        <w:t xml:space="preserve"> se u 20 uzastopnih, jednakih t</w:t>
      </w:r>
      <w:r>
        <w:rPr>
          <w:lang w:eastAsia="hr-HR"/>
        </w:rPr>
        <w:t>romjesečnih</w:t>
      </w:r>
      <w:r w:rsidR="00BC0E38">
        <w:rPr>
          <w:lang w:eastAsia="hr-HR"/>
        </w:rPr>
        <w:t xml:space="preserve"> r</w:t>
      </w:r>
      <w:r w:rsidR="000934B0">
        <w:rPr>
          <w:lang w:eastAsia="hr-HR"/>
        </w:rPr>
        <w:t>ata u iznosu od 100.000,00 eur</w:t>
      </w:r>
      <w:r w:rsidR="00E245A8">
        <w:rPr>
          <w:lang w:eastAsia="hr-HR"/>
        </w:rPr>
        <w:t>a</w:t>
      </w:r>
      <w:r w:rsidR="000934B0">
        <w:rPr>
          <w:lang w:eastAsia="hr-HR"/>
        </w:rPr>
        <w:t>.</w:t>
      </w:r>
    </w:p>
    <w:p w14:paraId="5D1689D8" w14:textId="77777777" w:rsidR="00C120F3" w:rsidRDefault="00C120F3" w:rsidP="000632DD">
      <w:pPr>
        <w:spacing w:after="0" w:line="240" w:lineRule="auto"/>
        <w:rPr>
          <w:rFonts w:ascii="Calibri" w:hAnsi="Calibri" w:cs="Calibri"/>
        </w:rPr>
      </w:pPr>
    </w:p>
    <w:p w14:paraId="609D586F" w14:textId="77777777" w:rsidR="00BC0E38" w:rsidRDefault="00BC0E38" w:rsidP="000632DD">
      <w:pPr>
        <w:spacing w:after="0" w:line="240" w:lineRule="auto"/>
        <w:rPr>
          <w:rFonts w:ascii="Calibri" w:hAnsi="Calibri" w:cs="Calibri"/>
        </w:rPr>
      </w:pPr>
    </w:p>
    <w:p w14:paraId="7AB452EF" w14:textId="77777777" w:rsidR="00824864" w:rsidRDefault="00824864" w:rsidP="000632DD">
      <w:pPr>
        <w:spacing w:after="0" w:line="240" w:lineRule="auto"/>
        <w:rPr>
          <w:rFonts w:ascii="Calibri" w:hAnsi="Calibri" w:cs="Calibri"/>
        </w:rPr>
      </w:pPr>
    </w:p>
    <w:p w14:paraId="1EF92F42" w14:textId="77777777" w:rsidR="00984AE8" w:rsidRPr="00701230" w:rsidRDefault="00984AE8" w:rsidP="00EC6EAF">
      <w:pPr>
        <w:spacing w:after="0" w:line="257" w:lineRule="auto"/>
        <w:ind w:left="6373"/>
        <w:jc w:val="center"/>
        <w:rPr>
          <w:rFonts w:cstheme="minorHAnsi"/>
        </w:rPr>
      </w:pPr>
      <w:r>
        <w:rPr>
          <w:rFonts w:cstheme="minorHAnsi"/>
        </w:rPr>
        <w:t>Ravnatelj</w:t>
      </w:r>
    </w:p>
    <w:p w14:paraId="10A04DB7" w14:textId="717852C1" w:rsidR="00863EC0" w:rsidRDefault="00984AE8" w:rsidP="00CD765B">
      <w:pPr>
        <w:ind w:left="6372"/>
        <w:jc w:val="center"/>
        <w:rPr>
          <w:rFonts w:cstheme="minorHAnsi"/>
        </w:rPr>
      </w:pPr>
      <w:r>
        <w:rPr>
          <w:rFonts w:cstheme="minorHAnsi"/>
        </w:rPr>
        <w:t>Doc. dr.sc. Robert Maršanić</w:t>
      </w:r>
    </w:p>
    <w:p w14:paraId="300BB0C6" w14:textId="77777777" w:rsidR="00863EC0" w:rsidRDefault="00863EC0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F7D19BD" w14:textId="77777777" w:rsidR="00F2601B" w:rsidRPr="00F2601B" w:rsidRDefault="003658FB" w:rsidP="00F2601B">
      <w:pPr>
        <w:pStyle w:val="Naslov1"/>
        <w:rPr>
          <w:rStyle w:val="Hiperveza"/>
          <w:color w:val="auto"/>
        </w:rPr>
      </w:pPr>
      <w:bookmarkStart w:id="46" w:name="_Toc204162382"/>
      <w:r w:rsidRPr="00417575">
        <w:lastRenderedPageBreak/>
        <w:t xml:space="preserve">POPIS </w:t>
      </w:r>
      <w:r w:rsidRPr="00D10C51">
        <w:t>TABLICA</w:t>
      </w:r>
      <w:bookmarkEnd w:id="46"/>
      <w:r w:rsidR="0020248B" w:rsidRPr="00F2601B">
        <w:rPr>
          <w:rStyle w:val="Hiperveza"/>
          <w:noProof/>
          <w:color w:val="auto"/>
        </w:rPr>
        <w:fldChar w:fldCharType="begin"/>
      </w:r>
      <w:r w:rsidR="0020248B" w:rsidRPr="00F2601B">
        <w:rPr>
          <w:rStyle w:val="Hiperveza"/>
          <w:noProof/>
          <w:color w:val="auto"/>
        </w:rPr>
        <w:instrText xml:space="preserve"> TOC \h \z \c "Tablica" </w:instrText>
      </w:r>
      <w:r w:rsidR="0020248B" w:rsidRPr="00F2601B">
        <w:rPr>
          <w:rStyle w:val="Hiperveza"/>
          <w:noProof/>
          <w:color w:val="auto"/>
        </w:rPr>
        <w:fldChar w:fldCharType="separate"/>
      </w:r>
    </w:p>
    <w:p w14:paraId="3D514E16" w14:textId="77777777" w:rsidR="00F2601B" w:rsidRPr="00F2601B" w:rsidRDefault="00F2601B" w:rsidP="00F2601B">
      <w:pPr>
        <w:pStyle w:val="Tablicaslika"/>
        <w:tabs>
          <w:tab w:val="right" w:leader="dot" w:pos="9628"/>
        </w:tabs>
        <w:ind w:left="907" w:hanging="907"/>
        <w:rPr>
          <w:rStyle w:val="Hiperveza"/>
          <w:noProof/>
          <w:color w:val="auto"/>
        </w:rPr>
      </w:pPr>
      <w:hyperlink w:anchor="_Toc204162093" w:history="1">
        <w:r w:rsidRPr="00F2601B">
          <w:rPr>
            <w:rStyle w:val="Hiperveza"/>
            <w:noProof/>
            <w:color w:val="auto"/>
          </w:rPr>
          <w:t>Tablica 1. Izvršenje financijskog plana u prvom polugodištu 2025. godine s usporednim pokazateljima izvršenja u istom razdoblju 2024. godine</w:t>
        </w:r>
        <w:r w:rsidRPr="00F2601B">
          <w:rPr>
            <w:rStyle w:val="Hiperveza"/>
            <w:noProof/>
            <w:webHidden/>
            <w:color w:val="auto"/>
          </w:rPr>
          <w:tab/>
        </w:r>
        <w:r w:rsidRPr="00F2601B">
          <w:rPr>
            <w:rStyle w:val="Hiperveza"/>
            <w:noProof/>
            <w:webHidden/>
            <w:color w:val="auto"/>
          </w:rPr>
          <w:fldChar w:fldCharType="begin"/>
        </w:r>
        <w:r w:rsidRPr="00F2601B">
          <w:rPr>
            <w:rStyle w:val="Hiperveza"/>
            <w:noProof/>
            <w:webHidden/>
            <w:color w:val="auto"/>
          </w:rPr>
          <w:instrText xml:space="preserve"> PAGEREF _Toc204162093 \h </w:instrText>
        </w:r>
        <w:r w:rsidRPr="00F2601B">
          <w:rPr>
            <w:rStyle w:val="Hiperveza"/>
            <w:noProof/>
            <w:webHidden/>
            <w:color w:val="auto"/>
          </w:rPr>
        </w:r>
        <w:r w:rsidRPr="00F2601B">
          <w:rPr>
            <w:rStyle w:val="Hiperveza"/>
            <w:noProof/>
            <w:webHidden/>
            <w:color w:val="auto"/>
          </w:rPr>
          <w:fldChar w:fldCharType="separate"/>
        </w:r>
        <w:r w:rsidRPr="00F2601B">
          <w:rPr>
            <w:rStyle w:val="Hiperveza"/>
            <w:noProof/>
            <w:webHidden/>
            <w:color w:val="auto"/>
          </w:rPr>
          <w:t>12</w:t>
        </w:r>
        <w:r w:rsidRPr="00F2601B">
          <w:rPr>
            <w:rStyle w:val="Hiperveza"/>
            <w:noProof/>
            <w:webHidden/>
            <w:color w:val="auto"/>
          </w:rPr>
          <w:fldChar w:fldCharType="end"/>
        </w:r>
      </w:hyperlink>
    </w:p>
    <w:p w14:paraId="732D8771" w14:textId="77777777" w:rsidR="00F2601B" w:rsidRPr="00F2601B" w:rsidRDefault="00F2601B" w:rsidP="00F2601B">
      <w:pPr>
        <w:pStyle w:val="Tablicaslika"/>
        <w:tabs>
          <w:tab w:val="right" w:leader="dot" w:pos="9628"/>
        </w:tabs>
        <w:ind w:left="907" w:hanging="907"/>
        <w:rPr>
          <w:rStyle w:val="Hiperveza"/>
          <w:noProof/>
          <w:color w:val="auto"/>
        </w:rPr>
      </w:pPr>
      <w:hyperlink w:anchor="_Toc204162094" w:history="1">
        <w:r w:rsidRPr="00F2601B">
          <w:rPr>
            <w:rStyle w:val="Hiperveza"/>
            <w:noProof/>
            <w:color w:val="auto"/>
          </w:rPr>
          <w:t>Tablica 2. Ostvarenje prihoda i primitaka u prvom polugodištu 2025. godine s usporednim pokazateljima u istom razdoblju 2024. godine</w:t>
        </w:r>
        <w:r w:rsidRPr="00F2601B">
          <w:rPr>
            <w:rStyle w:val="Hiperveza"/>
            <w:noProof/>
            <w:webHidden/>
            <w:color w:val="auto"/>
          </w:rPr>
          <w:tab/>
        </w:r>
        <w:r w:rsidRPr="00F2601B">
          <w:rPr>
            <w:rStyle w:val="Hiperveza"/>
            <w:noProof/>
            <w:webHidden/>
            <w:color w:val="auto"/>
          </w:rPr>
          <w:fldChar w:fldCharType="begin"/>
        </w:r>
        <w:r w:rsidRPr="00F2601B">
          <w:rPr>
            <w:rStyle w:val="Hiperveza"/>
            <w:noProof/>
            <w:webHidden/>
            <w:color w:val="auto"/>
          </w:rPr>
          <w:instrText xml:space="preserve"> PAGEREF _Toc204162094 \h </w:instrText>
        </w:r>
        <w:r w:rsidRPr="00F2601B">
          <w:rPr>
            <w:rStyle w:val="Hiperveza"/>
            <w:noProof/>
            <w:webHidden/>
            <w:color w:val="auto"/>
          </w:rPr>
        </w:r>
        <w:r w:rsidRPr="00F2601B">
          <w:rPr>
            <w:rStyle w:val="Hiperveza"/>
            <w:noProof/>
            <w:webHidden/>
            <w:color w:val="auto"/>
          </w:rPr>
          <w:fldChar w:fldCharType="separate"/>
        </w:r>
        <w:r w:rsidRPr="00F2601B">
          <w:rPr>
            <w:rStyle w:val="Hiperveza"/>
            <w:noProof/>
            <w:webHidden/>
            <w:color w:val="auto"/>
          </w:rPr>
          <w:t>13</w:t>
        </w:r>
        <w:r w:rsidRPr="00F2601B">
          <w:rPr>
            <w:rStyle w:val="Hiperveza"/>
            <w:noProof/>
            <w:webHidden/>
            <w:color w:val="auto"/>
          </w:rPr>
          <w:fldChar w:fldCharType="end"/>
        </w:r>
      </w:hyperlink>
    </w:p>
    <w:p w14:paraId="34B1F802" w14:textId="77777777" w:rsidR="00F2601B" w:rsidRPr="00F2601B" w:rsidRDefault="00F2601B" w:rsidP="00F2601B">
      <w:pPr>
        <w:pStyle w:val="Tablicaslika"/>
        <w:tabs>
          <w:tab w:val="right" w:leader="dot" w:pos="9628"/>
        </w:tabs>
        <w:ind w:left="907" w:hanging="907"/>
        <w:rPr>
          <w:rStyle w:val="Hiperveza"/>
          <w:color w:val="auto"/>
        </w:rPr>
      </w:pPr>
      <w:hyperlink w:anchor="_Toc204162095" w:history="1">
        <w:r w:rsidRPr="00F2601B">
          <w:rPr>
            <w:rStyle w:val="Hiperveza"/>
            <w:noProof/>
            <w:color w:val="auto"/>
          </w:rPr>
          <w:t>Tablica 3. Prihodi od pomoći od subjekata unutar općeg proračuna u prvom polugodištu 2025. godine</w:t>
        </w:r>
        <w:r w:rsidRPr="00F2601B">
          <w:rPr>
            <w:rStyle w:val="Hiperveza"/>
            <w:webHidden/>
            <w:color w:val="auto"/>
          </w:rPr>
          <w:tab/>
        </w:r>
        <w:r w:rsidRPr="00F2601B">
          <w:rPr>
            <w:rStyle w:val="Hiperveza"/>
            <w:webHidden/>
            <w:color w:val="auto"/>
          </w:rPr>
          <w:fldChar w:fldCharType="begin"/>
        </w:r>
        <w:r w:rsidRPr="00F2601B">
          <w:rPr>
            <w:rStyle w:val="Hiperveza"/>
            <w:webHidden/>
            <w:color w:val="auto"/>
          </w:rPr>
          <w:instrText xml:space="preserve"> PAGEREF _Toc204162095 \h </w:instrText>
        </w:r>
        <w:r w:rsidRPr="00F2601B">
          <w:rPr>
            <w:rStyle w:val="Hiperveza"/>
            <w:webHidden/>
            <w:color w:val="auto"/>
          </w:rPr>
        </w:r>
        <w:r w:rsidRPr="00F2601B">
          <w:rPr>
            <w:rStyle w:val="Hiperveza"/>
            <w:webHidden/>
            <w:color w:val="auto"/>
          </w:rPr>
          <w:fldChar w:fldCharType="separate"/>
        </w:r>
        <w:r w:rsidRPr="00F2601B">
          <w:rPr>
            <w:rStyle w:val="Hiperveza"/>
            <w:webHidden/>
            <w:color w:val="auto"/>
          </w:rPr>
          <w:t>15</w:t>
        </w:r>
        <w:r w:rsidRPr="00F2601B">
          <w:rPr>
            <w:rStyle w:val="Hiperveza"/>
            <w:webHidden/>
            <w:color w:val="auto"/>
          </w:rPr>
          <w:fldChar w:fldCharType="end"/>
        </w:r>
      </w:hyperlink>
    </w:p>
    <w:p w14:paraId="2A84253E" w14:textId="77777777" w:rsidR="00F2601B" w:rsidRPr="00F2601B" w:rsidRDefault="00F2601B" w:rsidP="00F2601B">
      <w:pPr>
        <w:pStyle w:val="Tablicaslika"/>
        <w:tabs>
          <w:tab w:val="right" w:leader="dot" w:pos="9628"/>
        </w:tabs>
        <w:ind w:left="907" w:hanging="907"/>
        <w:rPr>
          <w:rStyle w:val="Hiperveza"/>
          <w:color w:val="auto"/>
        </w:rPr>
      </w:pPr>
      <w:hyperlink w:anchor="_Toc204162096" w:history="1">
        <w:r w:rsidRPr="00F2601B">
          <w:rPr>
            <w:rStyle w:val="Hiperveza"/>
            <w:noProof/>
            <w:color w:val="auto"/>
          </w:rPr>
          <w:t>Tablica 4. Ostvareni prihodi od naknade za ceste u prvom polugodištu 2025. godine s usporednim pokazateljima ostvarenja u istom razdoblju 2024. godine</w:t>
        </w:r>
        <w:r w:rsidRPr="00F2601B">
          <w:rPr>
            <w:rStyle w:val="Hiperveza"/>
            <w:webHidden/>
            <w:color w:val="auto"/>
          </w:rPr>
          <w:tab/>
        </w:r>
        <w:r w:rsidRPr="00F2601B">
          <w:rPr>
            <w:rStyle w:val="Hiperveza"/>
            <w:webHidden/>
            <w:color w:val="auto"/>
          </w:rPr>
          <w:fldChar w:fldCharType="begin"/>
        </w:r>
        <w:r w:rsidRPr="00F2601B">
          <w:rPr>
            <w:rStyle w:val="Hiperveza"/>
            <w:webHidden/>
            <w:color w:val="auto"/>
          </w:rPr>
          <w:instrText xml:space="preserve"> PAGEREF _Toc204162096 \h </w:instrText>
        </w:r>
        <w:r w:rsidRPr="00F2601B">
          <w:rPr>
            <w:rStyle w:val="Hiperveza"/>
            <w:webHidden/>
            <w:color w:val="auto"/>
          </w:rPr>
        </w:r>
        <w:r w:rsidRPr="00F2601B">
          <w:rPr>
            <w:rStyle w:val="Hiperveza"/>
            <w:webHidden/>
            <w:color w:val="auto"/>
          </w:rPr>
          <w:fldChar w:fldCharType="separate"/>
        </w:r>
        <w:r w:rsidRPr="00F2601B">
          <w:rPr>
            <w:rStyle w:val="Hiperveza"/>
            <w:webHidden/>
            <w:color w:val="auto"/>
          </w:rPr>
          <w:t>16</w:t>
        </w:r>
        <w:r w:rsidRPr="00F2601B">
          <w:rPr>
            <w:rStyle w:val="Hiperveza"/>
            <w:webHidden/>
            <w:color w:val="auto"/>
          </w:rPr>
          <w:fldChar w:fldCharType="end"/>
        </w:r>
      </w:hyperlink>
    </w:p>
    <w:p w14:paraId="2A957E10" w14:textId="77777777" w:rsidR="00F2601B" w:rsidRPr="00F2601B" w:rsidRDefault="00F2601B" w:rsidP="00F2601B">
      <w:pPr>
        <w:pStyle w:val="Tablicaslika"/>
        <w:tabs>
          <w:tab w:val="right" w:leader="dot" w:pos="9628"/>
        </w:tabs>
        <w:ind w:left="907" w:hanging="907"/>
        <w:rPr>
          <w:rStyle w:val="Hiperveza"/>
          <w:color w:val="auto"/>
        </w:rPr>
      </w:pPr>
      <w:hyperlink w:anchor="_Toc204162097" w:history="1">
        <w:r w:rsidRPr="00F2601B">
          <w:rPr>
            <w:rStyle w:val="Hiperveza"/>
            <w:noProof/>
            <w:color w:val="auto"/>
          </w:rPr>
          <w:t>Tablica 5. Izvršenje rashoda i izdataka u prvom polugodištu 2025. godine s usporednim pokazateljima izvršenja u istom razdoblju 2024. godine</w:t>
        </w:r>
        <w:r w:rsidRPr="00F2601B">
          <w:rPr>
            <w:rStyle w:val="Hiperveza"/>
            <w:webHidden/>
            <w:color w:val="auto"/>
          </w:rPr>
          <w:tab/>
        </w:r>
        <w:r w:rsidRPr="00F2601B">
          <w:rPr>
            <w:rStyle w:val="Hiperveza"/>
            <w:webHidden/>
            <w:color w:val="auto"/>
          </w:rPr>
          <w:fldChar w:fldCharType="begin"/>
        </w:r>
        <w:r w:rsidRPr="00F2601B">
          <w:rPr>
            <w:rStyle w:val="Hiperveza"/>
            <w:webHidden/>
            <w:color w:val="auto"/>
          </w:rPr>
          <w:instrText xml:space="preserve"> PAGEREF _Toc204162097 \h </w:instrText>
        </w:r>
        <w:r w:rsidRPr="00F2601B">
          <w:rPr>
            <w:rStyle w:val="Hiperveza"/>
            <w:webHidden/>
            <w:color w:val="auto"/>
          </w:rPr>
        </w:r>
        <w:r w:rsidRPr="00F2601B">
          <w:rPr>
            <w:rStyle w:val="Hiperveza"/>
            <w:webHidden/>
            <w:color w:val="auto"/>
          </w:rPr>
          <w:fldChar w:fldCharType="separate"/>
        </w:r>
        <w:r w:rsidRPr="00F2601B">
          <w:rPr>
            <w:rStyle w:val="Hiperveza"/>
            <w:webHidden/>
            <w:color w:val="auto"/>
          </w:rPr>
          <w:t>18</w:t>
        </w:r>
        <w:r w:rsidRPr="00F2601B">
          <w:rPr>
            <w:rStyle w:val="Hiperveza"/>
            <w:webHidden/>
            <w:color w:val="auto"/>
          </w:rPr>
          <w:fldChar w:fldCharType="end"/>
        </w:r>
      </w:hyperlink>
    </w:p>
    <w:p w14:paraId="4411EAAD" w14:textId="77777777" w:rsidR="00F2601B" w:rsidRPr="00F2601B" w:rsidRDefault="00F2601B" w:rsidP="00F2601B">
      <w:pPr>
        <w:pStyle w:val="Tablicaslika"/>
        <w:tabs>
          <w:tab w:val="right" w:leader="dot" w:pos="9628"/>
        </w:tabs>
        <w:ind w:left="907" w:hanging="907"/>
        <w:rPr>
          <w:rStyle w:val="Hiperveza"/>
          <w:color w:val="auto"/>
        </w:rPr>
      </w:pPr>
      <w:hyperlink w:anchor="_Toc204162098" w:history="1">
        <w:r w:rsidRPr="00F2601B">
          <w:rPr>
            <w:rStyle w:val="Hiperveza"/>
            <w:noProof/>
            <w:color w:val="auto"/>
          </w:rPr>
          <w:t>Tablica 6. Izvršenje materijalnih rashoda u prvom polugodištu 2025. godine s usporednim pokazateljima izvršenja u istom razdoblju 2024. godine</w:t>
        </w:r>
        <w:r w:rsidRPr="00F2601B">
          <w:rPr>
            <w:rStyle w:val="Hiperveza"/>
            <w:webHidden/>
            <w:color w:val="auto"/>
          </w:rPr>
          <w:tab/>
        </w:r>
        <w:r w:rsidRPr="00F2601B">
          <w:rPr>
            <w:rStyle w:val="Hiperveza"/>
            <w:webHidden/>
            <w:color w:val="auto"/>
          </w:rPr>
          <w:fldChar w:fldCharType="begin"/>
        </w:r>
        <w:r w:rsidRPr="00F2601B">
          <w:rPr>
            <w:rStyle w:val="Hiperveza"/>
            <w:webHidden/>
            <w:color w:val="auto"/>
          </w:rPr>
          <w:instrText xml:space="preserve"> PAGEREF _Toc204162098 \h </w:instrText>
        </w:r>
        <w:r w:rsidRPr="00F2601B">
          <w:rPr>
            <w:rStyle w:val="Hiperveza"/>
            <w:webHidden/>
            <w:color w:val="auto"/>
          </w:rPr>
        </w:r>
        <w:r w:rsidRPr="00F2601B">
          <w:rPr>
            <w:rStyle w:val="Hiperveza"/>
            <w:webHidden/>
            <w:color w:val="auto"/>
          </w:rPr>
          <w:fldChar w:fldCharType="separate"/>
        </w:r>
        <w:r w:rsidRPr="00F2601B">
          <w:rPr>
            <w:rStyle w:val="Hiperveza"/>
            <w:webHidden/>
            <w:color w:val="auto"/>
          </w:rPr>
          <w:t>20</w:t>
        </w:r>
        <w:r w:rsidRPr="00F2601B">
          <w:rPr>
            <w:rStyle w:val="Hiperveza"/>
            <w:webHidden/>
            <w:color w:val="auto"/>
          </w:rPr>
          <w:fldChar w:fldCharType="end"/>
        </w:r>
      </w:hyperlink>
    </w:p>
    <w:p w14:paraId="7E64D7E5" w14:textId="77777777" w:rsidR="00F2601B" w:rsidRPr="00F2601B" w:rsidRDefault="00F2601B" w:rsidP="00F2601B">
      <w:pPr>
        <w:pStyle w:val="Tablicaslika"/>
        <w:tabs>
          <w:tab w:val="right" w:leader="dot" w:pos="9628"/>
        </w:tabs>
        <w:ind w:left="907" w:hanging="907"/>
        <w:rPr>
          <w:rStyle w:val="Hiperveza"/>
          <w:color w:val="auto"/>
        </w:rPr>
      </w:pPr>
      <w:hyperlink w:anchor="_Toc204162099" w:history="1">
        <w:r w:rsidRPr="00F2601B">
          <w:rPr>
            <w:rStyle w:val="Hiperveza"/>
            <w:noProof/>
            <w:color w:val="auto"/>
          </w:rPr>
          <w:t>Tablica 7. Izvršenje rashoda za redovito i izvanredno održavanje cesta u prvom polugodištu 2025. godine s usporednim pokazateljima izvršenja u istom razdoblju 2024. godine</w:t>
        </w:r>
        <w:r w:rsidRPr="00F2601B">
          <w:rPr>
            <w:rStyle w:val="Hiperveza"/>
            <w:webHidden/>
            <w:color w:val="auto"/>
          </w:rPr>
          <w:tab/>
        </w:r>
        <w:r w:rsidRPr="00F2601B">
          <w:rPr>
            <w:rStyle w:val="Hiperveza"/>
            <w:webHidden/>
            <w:color w:val="auto"/>
          </w:rPr>
          <w:fldChar w:fldCharType="begin"/>
        </w:r>
        <w:r w:rsidRPr="00F2601B">
          <w:rPr>
            <w:rStyle w:val="Hiperveza"/>
            <w:webHidden/>
            <w:color w:val="auto"/>
          </w:rPr>
          <w:instrText xml:space="preserve"> PAGEREF _Toc204162099 \h </w:instrText>
        </w:r>
        <w:r w:rsidRPr="00F2601B">
          <w:rPr>
            <w:rStyle w:val="Hiperveza"/>
            <w:webHidden/>
            <w:color w:val="auto"/>
          </w:rPr>
        </w:r>
        <w:r w:rsidRPr="00F2601B">
          <w:rPr>
            <w:rStyle w:val="Hiperveza"/>
            <w:webHidden/>
            <w:color w:val="auto"/>
          </w:rPr>
          <w:fldChar w:fldCharType="separate"/>
        </w:r>
        <w:r w:rsidRPr="00F2601B">
          <w:rPr>
            <w:rStyle w:val="Hiperveza"/>
            <w:webHidden/>
            <w:color w:val="auto"/>
          </w:rPr>
          <w:t>21</w:t>
        </w:r>
        <w:r w:rsidRPr="00F2601B">
          <w:rPr>
            <w:rStyle w:val="Hiperveza"/>
            <w:webHidden/>
            <w:color w:val="auto"/>
          </w:rPr>
          <w:fldChar w:fldCharType="end"/>
        </w:r>
      </w:hyperlink>
    </w:p>
    <w:p w14:paraId="7DBB5F5A" w14:textId="77777777" w:rsidR="00F2601B" w:rsidRPr="00F2601B" w:rsidRDefault="00F2601B" w:rsidP="00F2601B">
      <w:pPr>
        <w:pStyle w:val="Tablicaslika"/>
        <w:tabs>
          <w:tab w:val="right" w:leader="dot" w:pos="9628"/>
        </w:tabs>
        <w:ind w:left="907" w:hanging="907"/>
        <w:rPr>
          <w:rStyle w:val="Hiperveza"/>
          <w:color w:val="auto"/>
        </w:rPr>
      </w:pPr>
      <w:hyperlink w:anchor="_Toc204162100" w:history="1">
        <w:r w:rsidRPr="00F2601B">
          <w:rPr>
            <w:rStyle w:val="Hiperveza"/>
            <w:noProof/>
            <w:color w:val="auto"/>
          </w:rPr>
          <w:t>Tablica 8. Izvršenje rashoda za nabavu nefinancijske imovine u prvom polugodištu 2025. godine s usporednim pokazateljima izvršenja u istom razdoblju 2024. godine</w:t>
        </w:r>
        <w:r w:rsidRPr="00F2601B">
          <w:rPr>
            <w:rStyle w:val="Hiperveza"/>
            <w:webHidden/>
            <w:color w:val="auto"/>
          </w:rPr>
          <w:tab/>
        </w:r>
        <w:r w:rsidRPr="00F2601B">
          <w:rPr>
            <w:rStyle w:val="Hiperveza"/>
            <w:webHidden/>
            <w:color w:val="auto"/>
          </w:rPr>
          <w:fldChar w:fldCharType="begin"/>
        </w:r>
        <w:r w:rsidRPr="00F2601B">
          <w:rPr>
            <w:rStyle w:val="Hiperveza"/>
            <w:webHidden/>
            <w:color w:val="auto"/>
          </w:rPr>
          <w:instrText xml:space="preserve"> PAGEREF _Toc204162100 \h </w:instrText>
        </w:r>
        <w:r w:rsidRPr="00F2601B">
          <w:rPr>
            <w:rStyle w:val="Hiperveza"/>
            <w:webHidden/>
            <w:color w:val="auto"/>
          </w:rPr>
        </w:r>
        <w:r w:rsidRPr="00F2601B">
          <w:rPr>
            <w:rStyle w:val="Hiperveza"/>
            <w:webHidden/>
            <w:color w:val="auto"/>
          </w:rPr>
          <w:fldChar w:fldCharType="separate"/>
        </w:r>
        <w:r w:rsidRPr="00F2601B">
          <w:rPr>
            <w:rStyle w:val="Hiperveza"/>
            <w:webHidden/>
            <w:color w:val="auto"/>
          </w:rPr>
          <w:t>23</w:t>
        </w:r>
        <w:r w:rsidRPr="00F2601B">
          <w:rPr>
            <w:rStyle w:val="Hiperveza"/>
            <w:webHidden/>
            <w:color w:val="auto"/>
          </w:rPr>
          <w:fldChar w:fldCharType="end"/>
        </w:r>
      </w:hyperlink>
    </w:p>
    <w:p w14:paraId="4D56DBF1" w14:textId="0EEEE10E" w:rsidR="003658FB" w:rsidRPr="00F2601B" w:rsidRDefault="0020248B" w:rsidP="00F2601B">
      <w:pPr>
        <w:pStyle w:val="Tablicaslika"/>
        <w:tabs>
          <w:tab w:val="right" w:leader="dot" w:pos="9628"/>
        </w:tabs>
        <w:ind w:left="907" w:hanging="907"/>
      </w:pPr>
      <w:r w:rsidRPr="00F2601B">
        <w:rPr>
          <w:rStyle w:val="Hiperveza"/>
          <w:noProof/>
          <w:color w:val="auto"/>
        </w:rPr>
        <w:fldChar w:fldCharType="end"/>
      </w:r>
      <w:r w:rsidR="000632DD" w:rsidRPr="00F2601B">
        <w:br w:type="page"/>
      </w:r>
    </w:p>
    <w:p w14:paraId="07E0A18F" w14:textId="3E4FA271" w:rsidR="000632DD" w:rsidRPr="00F171FA" w:rsidRDefault="000632DD" w:rsidP="00F2601B">
      <w:pPr>
        <w:pStyle w:val="Naslov1"/>
      </w:pPr>
      <w:bookmarkStart w:id="47" w:name="_Toc204162383"/>
      <w:r w:rsidRPr="00F2601B">
        <w:lastRenderedPageBreak/>
        <w:t>POPIS</w:t>
      </w:r>
      <w:r w:rsidRPr="00F171FA">
        <w:t xml:space="preserve"> </w:t>
      </w:r>
      <w:r w:rsidRPr="003658FB">
        <w:t>GRAFIKONA</w:t>
      </w:r>
      <w:bookmarkEnd w:id="47"/>
    </w:p>
    <w:p w14:paraId="5B0D2F7E" w14:textId="77777777" w:rsidR="00F2601B" w:rsidRDefault="000632DD" w:rsidP="00F2601B">
      <w:pPr>
        <w:pStyle w:val="Tablicaslika"/>
        <w:tabs>
          <w:tab w:val="right" w:leader="dot" w:pos="9628"/>
        </w:tabs>
        <w:ind w:left="1049" w:hanging="1049"/>
        <w:rPr>
          <w:rFonts w:eastAsiaTheme="minorEastAsia"/>
          <w:noProof/>
          <w:lang w:eastAsia="hr-HR"/>
        </w:rPr>
      </w:pPr>
      <w:r w:rsidRPr="00F7445E">
        <w:rPr>
          <w:rFonts w:cstheme="minorHAnsi"/>
          <w:b/>
        </w:rPr>
        <w:fldChar w:fldCharType="begin"/>
      </w:r>
      <w:r w:rsidRPr="00F7445E">
        <w:rPr>
          <w:rFonts w:cstheme="minorHAnsi"/>
          <w:b/>
        </w:rPr>
        <w:instrText xml:space="preserve"> TOC \h \z \c "Grafikon" </w:instrText>
      </w:r>
      <w:r w:rsidRPr="00F7445E">
        <w:rPr>
          <w:rFonts w:cstheme="minorHAnsi"/>
          <w:b/>
        </w:rPr>
        <w:fldChar w:fldCharType="separate"/>
      </w:r>
      <w:hyperlink w:anchor="_Toc204162226" w:history="1">
        <w:r w:rsidR="00F2601B" w:rsidRPr="0033620D">
          <w:rPr>
            <w:rStyle w:val="Hiperveza"/>
            <w:rFonts w:cstheme="minorHAnsi"/>
            <w:noProof/>
          </w:rPr>
          <w:t>Grafikon 1. Ostvarenje prihoda i primitaka u prvom polugodištu 2025. godine s usporednim pokazateljima ostvarenja u istom razdoblju 2024. godine</w:t>
        </w:r>
        <w:r w:rsidR="00F2601B">
          <w:rPr>
            <w:noProof/>
            <w:webHidden/>
          </w:rPr>
          <w:tab/>
        </w:r>
        <w:r w:rsidR="00F2601B">
          <w:rPr>
            <w:noProof/>
            <w:webHidden/>
          </w:rPr>
          <w:fldChar w:fldCharType="begin"/>
        </w:r>
        <w:r w:rsidR="00F2601B">
          <w:rPr>
            <w:noProof/>
            <w:webHidden/>
          </w:rPr>
          <w:instrText xml:space="preserve"> PAGEREF _Toc204162226 \h </w:instrText>
        </w:r>
        <w:r w:rsidR="00F2601B">
          <w:rPr>
            <w:noProof/>
            <w:webHidden/>
          </w:rPr>
        </w:r>
        <w:r w:rsidR="00F2601B">
          <w:rPr>
            <w:noProof/>
            <w:webHidden/>
          </w:rPr>
          <w:fldChar w:fldCharType="separate"/>
        </w:r>
        <w:r w:rsidR="00F2601B">
          <w:rPr>
            <w:noProof/>
            <w:webHidden/>
          </w:rPr>
          <w:t>14</w:t>
        </w:r>
        <w:r w:rsidR="00F2601B">
          <w:rPr>
            <w:noProof/>
            <w:webHidden/>
          </w:rPr>
          <w:fldChar w:fldCharType="end"/>
        </w:r>
      </w:hyperlink>
    </w:p>
    <w:p w14:paraId="23E3DFB3" w14:textId="77777777" w:rsidR="00F2601B" w:rsidRDefault="00F2601B" w:rsidP="00F2601B">
      <w:pPr>
        <w:pStyle w:val="Tablicaslika"/>
        <w:tabs>
          <w:tab w:val="right" w:leader="dot" w:pos="9628"/>
        </w:tabs>
        <w:ind w:left="1049" w:hanging="1049"/>
        <w:rPr>
          <w:rFonts w:eastAsiaTheme="minorEastAsia"/>
          <w:noProof/>
          <w:lang w:eastAsia="hr-HR"/>
        </w:rPr>
      </w:pPr>
      <w:hyperlink w:anchor="_Toc204162227" w:history="1">
        <w:r w:rsidRPr="00F2601B">
          <w:rPr>
            <w:rStyle w:val="Hiperveza"/>
            <w:rFonts w:cstheme="minorHAnsi"/>
            <w:noProof/>
          </w:rPr>
          <w:t>Grafikon</w:t>
        </w:r>
        <w:r w:rsidRPr="0033620D">
          <w:rPr>
            <w:rStyle w:val="Hiperveza"/>
            <w:noProof/>
          </w:rPr>
          <w:t xml:space="preserve"> 2. Izvršenje rashoda i izdataka </w:t>
        </w:r>
        <w:r w:rsidRPr="0033620D">
          <w:rPr>
            <w:rStyle w:val="Hiperveza"/>
            <w:rFonts w:cstheme="minorHAnsi"/>
            <w:noProof/>
          </w:rPr>
          <w:t>u prvom polugodištu 2025. godine s usporednim pokazateljima izvršenja u istom razdoblju 2024. godine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_Toc204162227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A9E4B24" w14:textId="77777777" w:rsidR="000632DD" w:rsidRPr="00F7445E" w:rsidRDefault="000632DD" w:rsidP="000632DD">
      <w:pPr>
        <w:spacing w:before="240" w:after="240" w:line="240" w:lineRule="auto"/>
        <w:jc w:val="both"/>
        <w:rPr>
          <w:rFonts w:cstheme="minorHAnsi"/>
        </w:rPr>
      </w:pPr>
      <w:r w:rsidRPr="00F7445E">
        <w:rPr>
          <w:rFonts w:cstheme="minorHAnsi"/>
          <w:b/>
        </w:rPr>
        <w:fldChar w:fldCharType="end"/>
      </w:r>
    </w:p>
    <w:sectPr w:rsidR="000632DD" w:rsidRPr="00F7445E" w:rsidSect="0040262A">
      <w:pgSz w:w="11906" w:h="16838" w:code="9"/>
      <w:pgMar w:top="1134" w:right="1134" w:bottom="1134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3FFA2" w14:textId="77777777" w:rsidR="0079376C" w:rsidRDefault="0079376C" w:rsidP="002913D7">
      <w:pPr>
        <w:spacing w:after="0" w:line="240" w:lineRule="auto"/>
      </w:pPr>
      <w:r>
        <w:separator/>
      </w:r>
    </w:p>
  </w:endnote>
  <w:endnote w:type="continuationSeparator" w:id="0">
    <w:p w14:paraId="66AB533D" w14:textId="77777777" w:rsidR="0079376C" w:rsidRDefault="0079376C" w:rsidP="0029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K Grotesk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393269"/>
      <w:docPartObj>
        <w:docPartGallery w:val="Page Numbers (Bottom of Page)"/>
        <w:docPartUnique/>
      </w:docPartObj>
    </w:sdtPr>
    <w:sdtContent>
      <w:p w14:paraId="7CB41519" w14:textId="76806A43" w:rsidR="0079376C" w:rsidRDefault="0079376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01B">
          <w:rPr>
            <w:noProof/>
          </w:rPr>
          <w:t>25</w:t>
        </w:r>
        <w:r>
          <w:fldChar w:fldCharType="end"/>
        </w:r>
      </w:p>
    </w:sdtContent>
  </w:sdt>
  <w:p w14:paraId="22813A83" w14:textId="582C72A4" w:rsidR="0079376C" w:rsidRPr="00474E7C" w:rsidRDefault="0079376C" w:rsidP="001401C2">
    <w:pPr>
      <w:pStyle w:val="Zaglavlje"/>
      <w:ind w:left="-426"/>
      <w:rPr>
        <w:rFonts w:ascii="HK Grotesk" w:hAnsi="HK Grotesk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A3714" w14:textId="77777777" w:rsidR="0079376C" w:rsidRDefault="0079376C" w:rsidP="002913D7">
      <w:pPr>
        <w:spacing w:after="0" w:line="240" w:lineRule="auto"/>
      </w:pPr>
      <w:r>
        <w:separator/>
      </w:r>
    </w:p>
  </w:footnote>
  <w:footnote w:type="continuationSeparator" w:id="0">
    <w:p w14:paraId="6E499E2C" w14:textId="77777777" w:rsidR="0079376C" w:rsidRDefault="0079376C" w:rsidP="0029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9B4"/>
    <w:multiLevelType w:val="hybridMultilevel"/>
    <w:tmpl w:val="B83C5390"/>
    <w:lvl w:ilvl="0" w:tplc="3DFC72AE">
      <w:start w:val="2"/>
      <w:numFmt w:val="decimal"/>
      <w:suff w:val="space"/>
      <w:lvlText w:val="%1."/>
      <w:lvlJc w:val="left"/>
      <w:pPr>
        <w:ind w:left="717" w:hanging="71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4119"/>
    <w:multiLevelType w:val="hybridMultilevel"/>
    <w:tmpl w:val="FAF8AA4E"/>
    <w:lvl w:ilvl="0" w:tplc="2682BA26">
      <w:start w:val="1"/>
      <w:numFmt w:val="bullet"/>
      <w:suff w:val="space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1640"/>
    <w:multiLevelType w:val="hybridMultilevel"/>
    <w:tmpl w:val="65F849E8"/>
    <w:lvl w:ilvl="0" w:tplc="18BC2226">
      <w:numFmt w:val="bullet"/>
      <w:suff w:val="space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22DD"/>
    <w:multiLevelType w:val="hybridMultilevel"/>
    <w:tmpl w:val="ED9E4BA8"/>
    <w:lvl w:ilvl="0" w:tplc="35B82FF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728"/>
    <w:multiLevelType w:val="hybridMultilevel"/>
    <w:tmpl w:val="A28A1020"/>
    <w:lvl w:ilvl="0" w:tplc="60AE5BB4">
      <w:start w:val="1"/>
      <w:numFmt w:val="bullet"/>
      <w:suff w:val="space"/>
      <w:lvlText w:val=""/>
      <w:lvlJc w:val="left"/>
      <w:pPr>
        <w:ind w:left="147" w:hanging="14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15D37"/>
    <w:multiLevelType w:val="multilevel"/>
    <w:tmpl w:val="7212A084"/>
    <w:styleLink w:val="Sti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28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E73149"/>
    <w:multiLevelType w:val="hybridMultilevel"/>
    <w:tmpl w:val="6368E56A"/>
    <w:lvl w:ilvl="0" w:tplc="2F260D6C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48C4"/>
    <w:multiLevelType w:val="hybridMultilevel"/>
    <w:tmpl w:val="48D80810"/>
    <w:lvl w:ilvl="0" w:tplc="EF041DC4">
      <w:start w:val="1"/>
      <w:numFmt w:val="bullet"/>
      <w:suff w:val="space"/>
      <w:lvlText w:val=""/>
      <w:lvlJc w:val="left"/>
      <w:pPr>
        <w:ind w:left="587" w:hanging="58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D957A10"/>
    <w:multiLevelType w:val="multilevel"/>
    <w:tmpl w:val="7212A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28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4846E9"/>
    <w:multiLevelType w:val="multilevel"/>
    <w:tmpl w:val="E456442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28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D04565"/>
    <w:multiLevelType w:val="hybridMultilevel"/>
    <w:tmpl w:val="28D25ABA"/>
    <w:lvl w:ilvl="0" w:tplc="076C0E3C">
      <w:start w:val="1"/>
      <w:numFmt w:val="bullet"/>
      <w:suff w:val="space"/>
      <w:lvlText w:val="-"/>
      <w:lvlJc w:val="left"/>
      <w:pPr>
        <w:ind w:left="587" w:hanging="587"/>
      </w:pPr>
      <w:rPr>
        <w:rFonts w:ascii="Calibri" w:hAnsi="Calibri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A7482"/>
    <w:multiLevelType w:val="hybridMultilevel"/>
    <w:tmpl w:val="FCAC07BC"/>
    <w:lvl w:ilvl="0" w:tplc="B3B229E8">
      <w:numFmt w:val="bullet"/>
      <w:suff w:val="space"/>
      <w:lvlText w:val="-"/>
      <w:lvlJc w:val="left"/>
      <w:pPr>
        <w:ind w:left="717" w:hanging="490"/>
      </w:pPr>
      <w:rPr>
        <w:rFonts w:ascii="Tahoma" w:eastAsiaTheme="minorHAns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B9912D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9249BA"/>
    <w:multiLevelType w:val="hybridMultilevel"/>
    <w:tmpl w:val="FA066A78"/>
    <w:lvl w:ilvl="0" w:tplc="26A85A0E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B2E60"/>
    <w:multiLevelType w:val="hybridMultilevel"/>
    <w:tmpl w:val="88A21A4E"/>
    <w:lvl w:ilvl="0" w:tplc="5898311C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B539E"/>
    <w:multiLevelType w:val="hybridMultilevel"/>
    <w:tmpl w:val="5B7635A8"/>
    <w:lvl w:ilvl="0" w:tplc="509CD7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6418"/>
    <w:multiLevelType w:val="multilevel"/>
    <w:tmpl w:val="6598F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43223"/>
    <w:multiLevelType w:val="hybridMultilevel"/>
    <w:tmpl w:val="D0B8A84C"/>
    <w:lvl w:ilvl="0" w:tplc="8390BDE6">
      <w:start w:val="1"/>
      <w:numFmt w:val="bullet"/>
      <w:suff w:val="space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C5258"/>
    <w:multiLevelType w:val="hybridMultilevel"/>
    <w:tmpl w:val="0ECC1B34"/>
    <w:lvl w:ilvl="0" w:tplc="D346E620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A0CD1"/>
    <w:multiLevelType w:val="hybridMultilevel"/>
    <w:tmpl w:val="2016382C"/>
    <w:lvl w:ilvl="0" w:tplc="8630774C">
      <w:numFmt w:val="bullet"/>
      <w:suff w:val="space"/>
      <w:lvlText w:val="-"/>
      <w:lvlJc w:val="left"/>
      <w:pPr>
        <w:ind w:left="587" w:hanging="587"/>
      </w:pPr>
      <w:rPr>
        <w:rFonts w:ascii="Tahoma" w:eastAsiaTheme="minorHAns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BFE0D65"/>
    <w:multiLevelType w:val="hybridMultilevel"/>
    <w:tmpl w:val="3464382E"/>
    <w:lvl w:ilvl="0" w:tplc="E7B0DE92">
      <w:start w:val="3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1015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916B80"/>
    <w:multiLevelType w:val="hybridMultilevel"/>
    <w:tmpl w:val="BC489C18"/>
    <w:lvl w:ilvl="0" w:tplc="D0584BD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60E2C"/>
    <w:multiLevelType w:val="hybridMultilevel"/>
    <w:tmpl w:val="277C0CDE"/>
    <w:lvl w:ilvl="0" w:tplc="59407D74">
      <w:numFmt w:val="bullet"/>
      <w:suff w:val="space"/>
      <w:lvlText w:val="-"/>
      <w:lvlJc w:val="left"/>
      <w:pPr>
        <w:ind w:left="714" w:hanging="147"/>
      </w:pPr>
      <w:rPr>
        <w:rFonts w:ascii="Calibri" w:eastAsiaTheme="minorHAns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1D1128"/>
    <w:multiLevelType w:val="hybridMultilevel"/>
    <w:tmpl w:val="4E5C8EE0"/>
    <w:lvl w:ilvl="0" w:tplc="AFCE10D2">
      <w:start w:val="1"/>
      <w:numFmt w:val="decimal"/>
      <w:suff w:val="space"/>
      <w:lvlText w:val="%1."/>
      <w:lvlJc w:val="left"/>
      <w:pPr>
        <w:ind w:left="717" w:hanging="71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CF02EB0"/>
    <w:multiLevelType w:val="hybridMultilevel"/>
    <w:tmpl w:val="7F069D22"/>
    <w:lvl w:ilvl="0" w:tplc="8BBE6BD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52F1"/>
    <w:multiLevelType w:val="multilevel"/>
    <w:tmpl w:val="A0508576"/>
    <w:lvl w:ilvl="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EC3140"/>
    <w:multiLevelType w:val="hybridMultilevel"/>
    <w:tmpl w:val="AF0003E4"/>
    <w:lvl w:ilvl="0" w:tplc="3D4C1B88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2197"/>
    <w:multiLevelType w:val="hybridMultilevel"/>
    <w:tmpl w:val="4D1C80DA"/>
    <w:lvl w:ilvl="0" w:tplc="E2F203A0">
      <w:start w:val="1"/>
      <w:numFmt w:val="bullet"/>
      <w:suff w:val="space"/>
      <w:lvlText w:val=""/>
      <w:lvlJc w:val="left"/>
      <w:pPr>
        <w:ind w:left="587" w:hanging="58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C1413EB"/>
    <w:multiLevelType w:val="multilevel"/>
    <w:tmpl w:val="B900E24A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E410EF3"/>
    <w:multiLevelType w:val="hybridMultilevel"/>
    <w:tmpl w:val="BD5AA1DA"/>
    <w:lvl w:ilvl="0" w:tplc="413AB4B2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6747A"/>
    <w:multiLevelType w:val="hybridMultilevel"/>
    <w:tmpl w:val="80EC819C"/>
    <w:lvl w:ilvl="0" w:tplc="26A85A0E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B5C7E"/>
    <w:multiLevelType w:val="hybridMultilevel"/>
    <w:tmpl w:val="71347848"/>
    <w:lvl w:ilvl="0" w:tplc="6762816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12586"/>
    <w:multiLevelType w:val="hybridMultilevel"/>
    <w:tmpl w:val="90B86454"/>
    <w:lvl w:ilvl="0" w:tplc="DE68BA3E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10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28"/>
  </w:num>
  <w:num w:numId="5">
    <w:abstractNumId w:val="7"/>
  </w:num>
  <w:num w:numId="6">
    <w:abstractNumId w:val="14"/>
  </w:num>
  <w:num w:numId="7">
    <w:abstractNumId w:val="25"/>
  </w:num>
  <w:num w:numId="8">
    <w:abstractNumId w:val="10"/>
  </w:num>
  <w:num w:numId="9">
    <w:abstractNumId w:val="3"/>
  </w:num>
  <w:num w:numId="10">
    <w:abstractNumId w:val="22"/>
  </w:num>
  <w:num w:numId="11">
    <w:abstractNumId w:val="6"/>
  </w:num>
  <w:num w:numId="12">
    <w:abstractNumId w:val="2"/>
  </w:num>
  <w:num w:numId="13">
    <w:abstractNumId w:val="4"/>
  </w:num>
  <w:num w:numId="14">
    <w:abstractNumId w:val="20"/>
  </w:num>
  <w:num w:numId="15">
    <w:abstractNumId w:val="32"/>
  </w:num>
  <w:num w:numId="16">
    <w:abstractNumId w:val="23"/>
  </w:num>
  <w:num w:numId="17">
    <w:abstractNumId w:val="18"/>
  </w:num>
  <w:num w:numId="18">
    <w:abstractNumId w:val="15"/>
  </w:num>
  <w:num w:numId="19">
    <w:abstractNumId w:val="27"/>
  </w:num>
  <w:num w:numId="20">
    <w:abstractNumId w:val="30"/>
  </w:num>
  <w:num w:numId="21">
    <w:abstractNumId w:val="13"/>
  </w:num>
  <w:num w:numId="22">
    <w:abstractNumId w:val="31"/>
  </w:num>
  <w:num w:numId="23">
    <w:abstractNumId w:val="0"/>
  </w:num>
  <w:num w:numId="24">
    <w:abstractNumId w:val="33"/>
  </w:num>
  <w:num w:numId="25">
    <w:abstractNumId w:val="26"/>
  </w:num>
  <w:num w:numId="26">
    <w:abstractNumId w:val="16"/>
  </w:num>
  <w:num w:numId="27">
    <w:abstractNumId w:val="12"/>
  </w:num>
  <w:num w:numId="28">
    <w:abstractNumId w:val="8"/>
  </w:num>
  <w:num w:numId="29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80" w:hanging="286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30">
    <w:abstractNumId w:val="16"/>
  </w:num>
  <w:num w:numId="31">
    <w:abstractNumId w:val="5"/>
  </w:num>
  <w:num w:numId="32">
    <w:abstractNumId w:val="9"/>
  </w:num>
  <w:num w:numId="33">
    <w:abstractNumId w:val="8"/>
  </w:num>
  <w:num w:numId="34">
    <w:abstractNumId w:val="9"/>
  </w:num>
  <w:num w:numId="35">
    <w:abstractNumId w:val="9"/>
  </w:num>
  <w:num w:numId="36">
    <w:abstractNumId w:val="9"/>
    <w:lvlOverride w:ilvl="0">
      <w:startOverride w:val="1"/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isLgl/>
        <w:suff w:val="space"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isLgl/>
        <w:suff w:val="space"/>
        <w:lvlText w:val="%1.%2.%3."/>
        <w:lvlJc w:val="left"/>
        <w:pPr>
          <w:ind w:left="1080" w:hanging="286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37">
    <w:abstractNumId w:val="9"/>
  </w:num>
  <w:num w:numId="38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80" w:hanging="286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39">
    <w:abstractNumId w:val="21"/>
  </w:num>
  <w:num w:numId="40">
    <w:abstractNumId w:val="9"/>
  </w:num>
  <w:num w:numId="41">
    <w:abstractNumId w:val="29"/>
  </w:num>
  <w:num w:numId="42">
    <w:abstractNumId w:val="1"/>
  </w:num>
  <w:num w:numId="4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D7"/>
    <w:rsid w:val="00000E13"/>
    <w:rsid w:val="000026A9"/>
    <w:rsid w:val="000032C7"/>
    <w:rsid w:val="000034CF"/>
    <w:rsid w:val="00004290"/>
    <w:rsid w:val="00005C22"/>
    <w:rsid w:val="0000751B"/>
    <w:rsid w:val="00007ED7"/>
    <w:rsid w:val="00012701"/>
    <w:rsid w:val="000134AC"/>
    <w:rsid w:val="000142A9"/>
    <w:rsid w:val="00017CCC"/>
    <w:rsid w:val="00021C5F"/>
    <w:rsid w:val="00021CC3"/>
    <w:rsid w:val="00023931"/>
    <w:rsid w:val="000264CF"/>
    <w:rsid w:val="000304EF"/>
    <w:rsid w:val="00030D29"/>
    <w:rsid w:val="00030EAB"/>
    <w:rsid w:val="0003120A"/>
    <w:rsid w:val="00032F82"/>
    <w:rsid w:val="00034F3F"/>
    <w:rsid w:val="00045622"/>
    <w:rsid w:val="00046E48"/>
    <w:rsid w:val="00053D67"/>
    <w:rsid w:val="00055B85"/>
    <w:rsid w:val="00056150"/>
    <w:rsid w:val="0006008A"/>
    <w:rsid w:val="00060840"/>
    <w:rsid w:val="00060C53"/>
    <w:rsid w:val="00061628"/>
    <w:rsid w:val="00061D3A"/>
    <w:rsid w:val="000632DD"/>
    <w:rsid w:val="0007331A"/>
    <w:rsid w:val="00073663"/>
    <w:rsid w:val="00076F17"/>
    <w:rsid w:val="00080023"/>
    <w:rsid w:val="00082A83"/>
    <w:rsid w:val="00084AD5"/>
    <w:rsid w:val="000851CA"/>
    <w:rsid w:val="000859A8"/>
    <w:rsid w:val="0009186C"/>
    <w:rsid w:val="000934B0"/>
    <w:rsid w:val="00093E46"/>
    <w:rsid w:val="0009569C"/>
    <w:rsid w:val="0009699F"/>
    <w:rsid w:val="000A0266"/>
    <w:rsid w:val="000A2054"/>
    <w:rsid w:val="000A6699"/>
    <w:rsid w:val="000A6D92"/>
    <w:rsid w:val="000B04E8"/>
    <w:rsid w:val="000B0D04"/>
    <w:rsid w:val="000B0D81"/>
    <w:rsid w:val="000B3532"/>
    <w:rsid w:val="000B3A72"/>
    <w:rsid w:val="000B6926"/>
    <w:rsid w:val="000B69F8"/>
    <w:rsid w:val="000C239F"/>
    <w:rsid w:val="000C314A"/>
    <w:rsid w:val="000C3489"/>
    <w:rsid w:val="000C3A6E"/>
    <w:rsid w:val="000C5580"/>
    <w:rsid w:val="000C6009"/>
    <w:rsid w:val="000D03C1"/>
    <w:rsid w:val="000D0ADD"/>
    <w:rsid w:val="000D11E2"/>
    <w:rsid w:val="000D1268"/>
    <w:rsid w:val="000D1D0F"/>
    <w:rsid w:val="000D3341"/>
    <w:rsid w:val="000D4DA9"/>
    <w:rsid w:val="000D7A75"/>
    <w:rsid w:val="000E4315"/>
    <w:rsid w:val="000E522A"/>
    <w:rsid w:val="000E6B34"/>
    <w:rsid w:val="000E7AD5"/>
    <w:rsid w:val="000F0BCD"/>
    <w:rsid w:val="000F1741"/>
    <w:rsid w:val="000F2DAD"/>
    <w:rsid w:val="000F4776"/>
    <w:rsid w:val="0010044E"/>
    <w:rsid w:val="00101050"/>
    <w:rsid w:val="0010124B"/>
    <w:rsid w:val="00101CBC"/>
    <w:rsid w:val="00103533"/>
    <w:rsid w:val="00110665"/>
    <w:rsid w:val="001106AC"/>
    <w:rsid w:val="00111259"/>
    <w:rsid w:val="001149FA"/>
    <w:rsid w:val="00114DCF"/>
    <w:rsid w:val="00115E47"/>
    <w:rsid w:val="00121B78"/>
    <w:rsid w:val="00121D9B"/>
    <w:rsid w:val="00124E90"/>
    <w:rsid w:val="00125C1B"/>
    <w:rsid w:val="0012677B"/>
    <w:rsid w:val="00130AAE"/>
    <w:rsid w:val="00133574"/>
    <w:rsid w:val="00133C69"/>
    <w:rsid w:val="001344AB"/>
    <w:rsid w:val="00136596"/>
    <w:rsid w:val="001369B8"/>
    <w:rsid w:val="00137039"/>
    <w:rsid w:val="001401C2"/>
    <w:rsid w:val="0014164A"/>
    <w:rsid w:val="001462F8"/>
    <w:rsid w:val="00146B74"/>
    <w:rsid w:val="0015158B"/>
    <w:rsid w:val="00152F86"/>
    <w:rsid w:val="00154FAB"/>
    <w:rsid w:val="001571A2"/>
    <w:rsid w:val="0016038C"/>
    <w:rsid w:val="00161983"/>
    <w:rsid w:val="00161C2B"/>
    <w:rsid w:val="001647EA"/>
    <w:rsid w:val="001664CF"/>
    <w:rsid w:val="001675BC"/>
    <w:rsid w:val="0016794E"/>
    <w:rsid w:val="001702BD"/>
    <w:rsid w:val="001731A6"/>
    <w:rsid w:val="001742C3"/>
    <w:rsid w:val="00174C2A"/>
    <w:rsid w:val="00175536"/>
    <w:rsid w:val="0017621C"/>
    <w:rsid w:val="00176B2E"/>
    <w:rsid w:val="00177119"/>
    <w:rsid w:val="0017770F"/>
    <w:rsid w:val="00181E34"/>
    <w:rsid w:val="00183048"/>
    <w:rsid w:val="0018372A"/>
    <w:rsid w:val="00186B7B"/>
    <w:rsid w:val="00187BE4"/>
    <w:rsid w:val="00191E1C"/>
    <w:rsid w:val="00191ED0"/>
    <w:rsid w:val="001948C5"/>
    <w:rsid w:val="001951A2"/>
    <w:rsid w:val="0019642F"/>
    <w:rsid w:val="001A2CE1"/>
    <w:rsid w:val="001A4371"/>
    <w:rsid w:val="001A5C8E"/>
    <w:rsid w:val="001A64D8"/>
    <w:rsid w:val="001A6698"/>
    <w:rsid w:val="001B0CB0"/>
    <w:rsid w:val="001C2B90"/>
    <w:rsid w:val="001C2D20"/>
    <w:rsid w:val="001C425F"/>
    <w:rsid w:val="001C51C4"/>
    <w:rsid w:val="001C5CC2"/>
    <w:rsid w:val="001C72B7"/>
    <w:rsid w:val="001D29D3"/>
    <w:rsid w:val="001D4E97"/>
    <w:rsid w:val="001D54ED"/>
    <w:rsid w:val="001D5EF6"/>
    <w:rsid w:val="001D6A77"/>
    <w:rsid w:val="001E4E26"/>
    <w:rsid w:val="001E5D98"/>
    <w:rsid w:val="001E70E7"/>
    <w:rsid w:val="001F0379"/>
    <w:rsid w:val="001F3099"/>
    <w:rsid w:val="001F6D0F"/>
    <w:rsid w:val="001F7791"/>
    <w:rsid w:val="00200ACC"/>
    <w:rsid w:val="0020248B"/>
    <w:rsid w:val="0020285A"/>
    <w:rsid w:val="002062C0"/>
    <w:rsid w:val="00207815"/>
    <w:rsid w:val="00210A56"/>
    <w:rsid w:val="00211CA5"/>
    <w:rsid w:val="0021367B"/>
    <w:rsid w:val="00215F1A"/>
    <w:rsid w:val="00217849"/>
    <w:rsid w:val="00221F91"/>
    <w:rsid w:val="00222ABD"/>
    <w:rsid w:val="002236C4"/>
    <w:rsid w:val="0022376E"/>
    <w:rsid w:val="0022558F"/>
    <w:rsid w:val="00226A9A"/>
    <w:rsid w:val="002308A7"/>
    <w:rsid w:val="00232197"/>
    <w:rsid w:val="002336DE"/>
    <w:rsid w:val="00233A8D"/>
    <w:rsid w:val="00240CF7"/>
    <w:rsid w:val="0024344A"/>
    <w:rsid w:val="00243C35"/>
    <w:rsid w:val="002447BC"/>
    <w:rsid w:val="002451C3"/>
    <w:rsid w:val="00247DC5"/>
    <w:rsid w:val="00250737"/>
    <w:rsid w:val="002521F9"/>
    <w:rsid w:val="00252260"/>
    <w:rsid w:val="00252A0F"/>
    <w:rsid w:val="00253DC6"/>
    <w:rsid w:val="002559D8"/>
    <w:rsid w:val="0026286E"/>
    <w:rsid w:val="00266099"/>
    <w:rsid w:val="002722BF"/>
    <w:rsid w:val="00274364"/>
    <w:rsid w:val="002779C0"/>
    <w:rsid w:val="00280430"/>
    <w:rsid w:val="002827DA"/>
    <w:rsid w:val="00282E0E"/>
    <w:rsid w:val="002832C5"/>
    <w:rsid w:val="0028366D"/>
    <w:rsid w:val="002864CA"/>
    <w:rsid w:val="002874C0"/>
    <w:rsid w:val="002913D7"/>
    <w:rsid w:val="00291614"/>
    <w:rsid w:val="002919EC"/>
    <w:rsid w:val="00297E6A"/>
    <w:rsid w:val="002A0165"/>
    <w:rsid w:val="002A2EA2"/>
    <w:rsid w:val="002A32CB"/>
    <w:rsid w:val="002A3994"/>
    <w:rsid w:val="002A3C82"/>
    <w:rsid w:val="002A5323"/>
    <w:rsid w:val="002A5BD2"/>
    <w:rsid w:val="002B0DEF"/>
    <w:rsid w:val="002B1105"/>
    <w:rsid w:val="002B138D"/>
    <w:rsid w:val="002B14FC"/>
    <w:rsid w:val="002B1F1F"/>
    <w:rsid w:val="002B6355"/>
    <w:rsid w:val="002C1180"/>
    <w:rsid w:val="002C2089"/>
    <w:rsid w:val="002C26DC"/>
    <w:rsid w:val="002C3B5A"/>
    <w:rsid w:val="002C402A"/>
    <w:rsid w:val="002C445D"/>
    <w:rsid w:val="002C47DD"/>
    <w:rsid w:val="002C4AFA"/>
    <w:rsid w:val="002D1C61"/>
    <w:rsid w:val="002D2E7A"/>
    <w:rsid w:val="002D3ACB"/>
    <w:rsid w:val="002D4EE7"/>
    <w:rsid w:val="002D69DF"/>
    <w:rsid w:val="002E11A6"/>
    <w:rsid w:val="002E4721"/>
    <w:rsid w:val="002E74CC"/>
    <w:rsid w:val="00300E56"/>
    <w:rsid w:val="00310D7E"/>
    <w:rsid w:val="003111C8"/>
    <w:rsid w:val="0031282D"/>
    <w:rsid w:val="00313A81"/>
    <w:rsid w:val="0031719F"/>
    <w:rsid w:val="00321F64"/>
    <w:rsid w:val="00325B7C"/>
    <w:rsid w:val="00331AC2"/>
    <w:rsid w:val="003320BE"/>
    <w:rsid w:val="00332AE3"/>
    <w:rsid w:val="00332D5C"/>
    <w:rsid w:val="00335322"/>
    <w:rsid w:val="003419C0"/>
    <w:rsid w:val="0034324F"/>
    <w:rsid w:val="00344061"/>
    <w:rsid w:val="003458E2"/>
    <w:rsid w:val="0034698E"/>
    <w:rsid w:val="00350C8B"/>
    <w:rsid w:val="003511CF"/>
    <w:rsid w:val="003512DB"/>
    <w:rsid w:val="00355247"/>
    <w:rsid w:val="00357F92"/>
    <w:rsid w:val="00360BC8"/>
    <w:rsid w:val="00362353"/>
    <w:rsid w:val="003658FB"/>
    <w:rsid w:val="00367209"/>
    <w:rsid w:val="00367836"/>
    <w:rsid w:val="003708E7"/>
    <w:rsid w:val="00370AA8"/>
    <w:rsid w:val="0037137B"/>
    <w:rsid w:val="00371D62"/>
    <w:rsid w:val="00372E18"/>
    <w:rsid w:val="00372F23"/>
    <w:rsid w:val="003754AB"/>
    <w:rsid w:val="00375A12"/>
    <w:rsid w:val="00377A58"/>
    <w:rsid w:val="00382B87"/>
    <w:rsid w:val="00383C19"/>
    <w:rsid w:val="00392D8C"/>
    <w:rsid w:val="0039411F"/>
    <w:rsid w:val="00394810"/>
    <w:rsid w:val="00397054"/>
    <w:rsid w:val="003A017D"/>
    <w:rsid w:val="003A0BD3"/>
    <w:rsid w:val="003A29AC"/>
    <w:rsid w:val="003A34AA"/>
    <w:rsid w:val="003A3506"/>
    <w:rsid w:val="003A4E05"/>
    <w:rsid w:val="003A5FF4"/>
    <w:rsid w:val="003A78F3"/>
    <w:rsid w:val="003B52A8"/>
    <w:rsid w:val="003C0277"/>
    <w:rsid w:val="003C628B"/>
    <w:rsid w:val="003D0B47"/>
    <w:rsid w:val="003D0D42"/>
    <w:rsid w:val="003D1B44"/>
    <w:rsid w:val="003D3C93"/>
    <w:rsid w:val="003D40D4"/>
    <w:rsid w:val="003D4B55"/>
    <w:rsid w:val="003D520D"/>
    <w:rsid w:val="003D56BB"/>
    <w:rsid w:val="003D6906"/>
    <w:rsid w:val="003E1940"/>
    <w:rsid w:val="003E2E17"/>
    <w:rsid w:val="003E33A3"/>
    <w:rsid w:val="003E4A08"/>
    <w:rsid w:val="003E6719"/>
    <w:rsid w:val="003E6AB6"/>
    <w:rsid w:val="003F00B7"/>
    <w:rsid w:val="003F2C2B"/>
    <w:rsid w:val="0040262A"/>
    <w:rsid w:val="00402A84"/>
    <w:rsid w:val="0040630D"/>
    <w:rsid w:val="0041188A"/>
    <w:rsid w:val="00411EBA"/>
    <w:rsid w:val="00417332"/>
    <w:rsid w:val="00417575"/>
    <w:rsid w:val="00420D74"/>
    <w:rsid w:val="004336BD"/>
    <w:rsid w:val="004340D7"/>
    <w:rsid w:val="004423C8"/>
    <w:rsid w:val="004451EE"/>
    <w:rsid w:val="00445A3A"/>
    <w:rsid w:val="0044610D"/>
    <w:rsid w:val="004538A0"/>
    <w:rsid w:val="00453A46"/>
    <w:rsid w:val="00455629"/>
    <w:rsid w:val="004564AE"/>
    <w:rsid w:val="004603A6"/>
    <w:rsid w:val="004613E8"/>
    <w:rsid w:val="00464E8D"/>
    <w:rsid w:val="004715D5"/>
    <w:rsid w:val="00472C71"/>
    <w:rsid w:val="004735B0"/>
    <w:rsid w:val="00473764"/>
    <w:rsid w:val="00473A32"/>
    <w:rsid w:val="00474E7C"/>
    <w:rsid w:val="00475632"/>
    <w:rsid w:val="00477272"/>
    <w:rsid w:val="00480611"/>
    <w:rsid w:val="0048188F"/>
    <w:rsid w:val="00492885"/>
    <w:rsid w:val="00492F8F"/>
    <w:rsid w:val="0049325C"/>
    <w:rsid w:val="00493EA6"/>
    <w:rsid w:val="004A2D18"/>
    <w:rsid w:val="004A3984"/>
    <w:rsid w:val="004A633B"/>
    <w:rsid w:val="004A63C4"/>
    <w:rsid w:val="004A72CA"/>
    <w:rsid w:val="004A79BF"/>
    <w:rsid w:val="004B13CC"/>
    <w:rsid w:val="004B20CC"/>
    <w:rsid w:val="004B217F"/>
    <w:rsid w:val="004B3C2A"/>
    <w:rsid w:val="004B6DAF"/>
    <w:rsid w:val="004C201B"/>
    <w:rsid w:val="004C2297"/>
    <w:rsid w:val="004C238B"/>
    <w:rsid w:val="004C2FBF"/>
    <w:rsid w:val="004C43AC"/>
    <w:rsid w:val="004C44F5"/>
    <w:rsid w:val="004C6129"/>
    <w:rsid w:val="004D15BE"/>
    <w:rsid w:val="004D24FA"/>
    <w:rsid w:val="004D4DE6"/>
    <w:rsid w:val="004E012A"/>
    <w:rsid w:val="004E10BE"/>
    <w:rsid w:val="004E38BF"/>
    <w:rsid w:val="004E646A"/>
    <w:rsid w:val="004F1294"/>
    <w:rsid w:val="004F3210"/>
    <w:rsid w:val="004F332A"/>
    <w:rsid w:val="004F4DD8"/>
    <w:rsid w:val="004F5B68"/>
    <w:rsid w:val="004F5C25"/>
    <w:rsid w:val="004F5D98"/>
    <w:rsid w:val="004F6D18"/>
    <w:rsid w:val="004F7AE3"/>
    <w:rsid w:val="004F7B1F"/>
    <w:rsid w:val="00500885"/>
    <w:rsid w:val="005031F8"/>
    <w:rsid w:val="00505785"/>
    <w:rsid w:val="0050596F"/>
    <w:rsid w:val="0050644F"/>
    <w:rsid w:val="00511504"/>
    <w:rsid w:val="00512C52"/>
    <w:rsid w:val="00514F99"/>
    <w:rsid w:val="00515D6B"/>
    <w:rsid w:val="0052033D"/>
    <w:rsid w:val="005215BC"/>
    <w:rsid w:val="0052175E"/>
    <w:rsid w:val="00521DE3"/>
    <w:rsid w:val="00524E9A"/>
    <w:rsid w:val="005305C2"/>
    <w:rsid w:val="00533F03"/>
    <w:rsid w:val="00534747"/>
    <w:rsid w:val="00535B05"/>
    <w:rsid w:val="00536B37"/>
    <w:rsid w:val="00540685"/>
    <w:rsid w:val="00543575"/>
    <w:rsid w:val="00543E22"/>
    <w:rsid w:val="005447AE"/>
    <w:rsid w:val="00546E00"/>
    <w:rsid w:val="00550540"/>
    <w:rsid w:val="00555034"/>
    <w:rsid w:val="00566F36"/>
    <w:rsid w:val="0057244C"/>
    <w:rsid w:val="005731A5"/>
    <w:rsid w:val="00575DD4"/>
    <w:rsid w:val="0057763E"/>
    <w:rsid w:val="005853D4"/>
    <w:rsid w:val="005917C8"/>
    <w:rsid w:val="0059199C"/>
    <w:rsid w:val="00593862"/>
    <w:rsid w:val="00594CF3"/>
    <w:rsid w:val="005A0C32"/>
    <w:rsid w:val="005A5088"/>
    <w:rsid w:val="005B02CA"/>
    <w:rsid w:val="005B0740"/>
    <w:rsid w:val="005B11D0"/>
    <w:rsid w:val="005B13E0"/>
    <w:rsid w:val="005B1D37"/>
    <w:rsid w:val="005B211E"/>
    <w:rsid w:val="005B28B2"/>
    <w:rsid w:val="005B36C8"/>
    <w:rsid w:val="005B3F99"/>
    <w:rsid w:val="005B7097"/>
    <w:rsid w:val="005C15B8"/>
    <w:rsid w:val="005C26D3"/>
    <w:rsid w:val="005C3EB6"/>
    <w:rsid w:val="005C6083"/>
    <w:rsid w:val="005C7803"/>
    <w:rsid w:val="005D1D26"/>
    <w:rsid w:val="005D2D63"/>
    <w:rsid w:val="005D4040"/>
    <w:rsid w:val="005D4105"/>
    <w:rsid w:val="005D5CE2"/>
    <w:rsid w:val="005E0D04"/>
    <w:rsid w:val="005E3D92"/>
    <w:rsid w:val="005E6E6A"/>
    <w:rsid w:val="005F027B"/>
    <w:rsid w:val="005F69E2"/>
    <w:rsid w:val="005F73BB"/>
    <w:rsid w:val="005F76B5"/>
    <w:rsid w:val="00606863"/>
    <w:rsid w:val="006108CF"/>
    <w:rsid w:val="00612F4E"/>
    <w:rsid w:val="0061338C"/>
    <w:rsid w:val="00615E8B"/>
    <w:rsid w:val="00615EC7"/>
    <w:rsid w:val="00620AE1"/>
    <w:rsid w:val="00621D7E"/>
    <w:rsid w:val="00622342"/>
    <w:rsid w:val="00626BF9"/>
    <w:rsid w:val="0063303C"/>
    <w:rsid w:val="00634114"/>
    <w:rsid w:val="006341B2"/>
    <w:rsid w:val="00635EEC"/>
    <w:rsid w:val="00637374"/>
    <w:rsid w:val="00640BD1"/>
    <w:rsid w:val="00642625"/>
    <w:rsid w:val="00642631"/>
    <w:rsid w:val="00643EED"/>
    <w:rsid w:val="0064573A"/>
    <w:rsid w:val="0065296C"/>
    <w:rsid w:val="00653B1B"/>
    <w:rsid w:val="006570AF"/>
    <w:rsid w:val="00657C6A"/>
    <w:rsid w:val="006639B4"/>
    <w:rsid w:val="0066424D"/>
    <w:rsid w:val="00665F4F"/>
    <w:rsid w:val="00666DF7"/>
    <w:rsid w:val="00667B52"/>
    <w:rsid w:val="00672736"/>
    <w:rsid w:val="006727C3"/>
    <w:rsid w:val="00677DB7"/>
    <w:rsid w:val="00680EFA"/>
    <w:rsid w:val="00682764"/>
    <w:rsid w:val="00683E5A"/>
    <w:rsid w:val="00692BB0"/>
    <w:rsid w:val="00695B72"/>
    <w:rsid w:val="00695ED5"/>
    <w:rsid w:val="00697900"/>
    <w:rsid w:val="00697C6F"/>
    <w:rsid w:val="00697EC0"/>
    <w:rsid w:val="006A02B2"/>
    <w:rsid w:val="006A2697"/>
    <w:rsid w:val="006A47A2"/>
    <w:rsid w:val="006A6F00"/>
    <w:rsid w:val="006B0126"/>
    <w:rsid w:val="006B082F"/>
    <w:rsid w:val="006B1AEE"/>
    <w:rsid w:val="006B2E3F"/>
    <w:rsid w:val="006B5F96"/>
    <w:rsid w:val="006B7B9A"/>
    <w:rsid w:val="006C03A1"/>
    <w:rsid w:val="006C2028"/>
    <w:rsid w:val="006C5317"/>
    <w:rsid w:val="006C7E52"/>
    <w:rsid w:val="006D1CCC"/>
    <w:rsid w:val="006D2768"/>
    <w:rsid w:val="006D39F1"/>
    <w:rsid w:val="006D594F"/>
    <w:rsid w:val="006D68CD"/>
    <w:rsid w:val="006D7B63"/>
    <w:rsid w:val="006D7F76"/>
    <w:rsid w:val="006E1F33"/>
    <w:rsid w:val="006E31D8"/>
    <w:rsid w:val="006E3C60"/>
    <w:rsid w:val="006E5A8B"/>
    <w:rsid w:val="006E72C1"/>
    <w:rsid w:val="006F5EC1"/>
    <w:rsid w:val="006F64B6"/>
    <w:rsid w:val="007030CE"/>
    <w:rsid w:val="00704B4D"/>
    <w:rsid w:val="007119F8"/>
    <w:rsid w:val="00714CD2"/>
    <w:rsid w:val="00715F9E"/>
    <w:rsid w:val="007207E7"/>
    <w:rsid w:val="00722AB7"/>
    <w:rsid w:val="00723E6F"/>
    <w:rsid w:val="007259AF"/>
    <w:rsid w:val="00726C31"/>
    <w:rsid w:val="00727BA0"/>
    <w:rsid w:val="0073106B"/>
    <w:rsid w:val="007365A4"/>
    <w:rsid w:val="00742087"/>
    <w:rsid w:val="0074214A"/>
    <w:rsid w:val="00742D89"/>
    <w:rsid w:val="00744E94"/>
    <w:rsid w:val="007456B1"/>
    <w:rsid w:val="00746010"/>
    <w:rsid w:val="00747545"/>
    <w:rsid w:val="0075171D"/>
    <w:rsid w:val="00754548"/>
    <w:rsid w:val="00755519"/>
    <w:rsid w:val="00755D8A"/>
    <w:rsid w:val="0075784F"/>
    <w:rsid w:val="0076058E"/>
    <w:rsid w:val="007611CD"/>
    <w:rsid w:val="00761A1B"/>
    <w:rsid w:val="00764B7E"/>
    <w:rsid w:val="00765175"/>
    <w:rsid w:val="00765FB5"/>
    <w:rsid w:val="007666C2"/>
    <w:rsid w:val="00766C21"/>
    <w:rsid w:val="00770F7F"/>
    <w:rsid w:val="0077367B"/>
    <w:rsid w:val="00774B3A"/>
    <w:rsid w:val="00775110"/>
    <w:rsid w:val="00777953"/>
    <w:rsid w:val="007806EF"/>
    <w:rsid w:val="00780848"/>
    <w:rsid w:val="0078109B"/>
    <w:rsid w:val="0078168E"/>
    <w:rsid w:val="00782E0F"/>
    <w:rsid w:val="0078340C"/>
    <w:rsid w:val="007834FD"/>
    <w:rsid w:val="00783ECB"/>
    <w:rsid w:val="0079168C"/>
    <w:rsid w:val="0079376C"/>
    <w:rsid w:val="007959AA"/>
    <w:rsid w:val="007969EA"/>
    <w:rsid w:val="00797EBC"/>
    <w:rsid w:val="007A04B7"/>
    <w:rsid w:val="007A07DE"/>
    <w:rsid w:val="007A13BA"/>
    <w:rsid w:val="007A33C7"/>
    <w:rsid w:val="007A4EA4"/>
    <w:rsid w:val="007A684B"/>
    <w:rsid w:val="007A69F8"/>
    <w:rsid w:val="007B0D40"/>
    <w:rsid w:val="007B0F38"/>
    <w:rsid w:val="007B0F60"/>
    <w:rsid w:val="007B7DD9"/>
    <w:rsid w:val="007C01E6"/>
    <w:rsid w:val="007C0EC7"/>
    <w:rsid w:val="007C4AEE"/>
    <w:rsid w:val="007D2227"/>
    <w:rsid w:val="007D40AC"/>
    <w:rsid w:val="007D46BE"/>
    <w:rsid w:val="007D6E4B"/>
    <w:rsid w:val="007E0AFB"/>
    <w:rsid w:val="007E3D70"/>
    <w:rsid w:val="007E47AC"/>
    <w:rsid w:val="007E547D"/>
    <w:rsid w:val="007F17DB"/>
    <w:rsid w:val="007F1A78"/>
    <w:rsid w:val="007F25CD"/>
    <w:rsid w:val="007F528A"/>
    <w:rsid w:val="007F790A"/>
    <w:rsid w:val="007F7A3A"/>
    <w:rsid w:val="008001FE"/>
    <w:rsid w:val="00800303"/>
    <w:rsid w:val="008008AE"/>
    <w:rsid w:val="008008DC"/>
    <w:rsid w:val="0080099F"/>
    <w:rsid w:val="00802433"/>
    <w:rsid w:val="0080442A"/>
    <w:rsid w:val="0080580F"/>
    <w:rsid w:val="00806016"/>
    <w:rsid w:val="00810A61"/>
    <w:rsid w:val="00811D99"/>
    <w:rsid w:val="00812B8F"/>
    <w:rsid w:val="00812EAC"/>
    <w:rsid w:val="00814442"/>
    <w:rsid w:val="008145C5"/>
    <w:rsid w:val="0081467D"/>
    <w:rsid w:val="00814E50"/>
    <w:rsid w:val="008224FB"/>
    <w:rsid w:val="00824864"/>
    <w:rsid w:val="00834DD4"/>
    <w:rsid w:val="00835843"/>
    <w:rsid w:val="00835D26"/>
    <w:rsid w:val="00837A95"/>
    <w:rsid w:val="00841246"/>
    <w:rsid w:val="00841E68"/>
    <w:rsid w:val="00842328"/>
    <w:rsid w:val="00843834"/>
    <w:rsid w:val="00845511"/>
    <w:rsid w:val="00846002"/>
    <w:rsid w:val="008500E8"/>
    <w:rsid w:val="008517A4"/>
    <w:rsid w:val="00854609"/>
    <w:rsid w:val="00854CB5"/>
    <w:rsid w:val="00855933"/>
    <w:rsid w:val="00856711"/>
    <w:rsid w:val="00863483"/>
    <w:rsid w:val="00863EC0"/>
    <w:rsid w:val="00867A93"/>
    <w:rsid w:val="00870E30"/>
    <w:rsid w:val="00871167"/>
    <w:rsid w:val="008711E8"/>
    <w:rsid w:val="0087344E"/>
    <w:rsid w:val="00874014"/>
    <w:rsid w:val="008756FB"/>
    <w:rsid w:val="00876748"/>
    <w:rsid w:val="00880D4A"/>
    <w:rsid w:val="00886FB6"/>
    <w:rsid w:val="00891ADD"/>
    <w:rsid w:val="0089469C"/>
    <w:rsid w:val="0089474E"/>
    <w:rsid w:val="00896918"/>
    <w:rsid w:val="008A4131"/>
    <w:rsid w:val="008A44DE"/>
    <w:rsid w:val="008A6137"/>
    <w:rsid w:val="008A7347"/>
    <w:rsid w:val="008A7408"/>
    <w:rsid w:val="008B4FBE"/>
    <w:rsid w:val="008B6BC1"/>
    <w:rsid w:val="008C1C8E"/>
    <w:rsid w:val="008C75B3"/>
    <w:rsid w:val="008D1873"/>
    <w:rsid w:val="008D33BC"/>
    <w:rsid w:val="008D4679"/>
    <w:rsid w:val="008D5B1B"/>
    <w:rsid w:val="008D65D9"/>
    <w:rsid w:val="008E0500"/>
    <w:rsid w:val="008E0CAE"/>
    <w:rsid w:val="008E453F"/>
    <w:rsid w:val="008E7EEB"/>
    <w:rsid w:val="008F2382"/>
    <w:rsid w:val="008F3727"/>
    <w:rsid w:val="008F3B8B"/>
    <w:rsid w:val="008F3CBD"/>
    <w:rsid w:val="008F627C"/>
    <w:rsid w:val="008F6BD6"/>
    <w:rsid w:val="008F7871"/>
    <w:rsid w:val="00901DD6"/>
    <w:rsid w:val="009067CE"/>
    <w:rsid w:val="00907429"/>
    <w:rsid w:val="009153B0"/>
    <w:rsid w:val="00915E02"/>
    <w:rsid w:val="0091617A"/>
    <w:rsid w:val="00917E47"/>
    <w:rsid w:val="00922E8C"/>
    <w:rsid w:val="00924AF4"/>
    <w:rsid w:val="00940418"/>
    <w:rsid w:val="0094069C"/>
    <w:rsid w:val="00944245"/>
    <w:rsid w:val="0094551A"/>
    <w:rsid w:val="00945592"/>
    <w:rsid w:val="00945951"/>
    <w:rsid w:val="0094765E"/>
    <w:rsid w:val="00950137"/>
    <w:rsid w:val="0095594C"/>
    <w:rsid w:val="0095680F"/>
    <w:rsid w:val="009613DF"/>
    <w:rsid w:val="00962D2C"/>
    <w:rsid w:val="00962D8E"/>
    <w:rsid w:val="009640A4"/>
    <w:rsid w:val="00965B0B"/>
    <w:rsid w:val="00970143"/>
    <w:rsid w:val="00970CBA"/>
    <w:rsid w:val="009719C6"/>
    <w:rsid w:val="00976BFF"/>
    <w:rsid w:val="00981752"/>
    <w:rsid w:val="00984AE8"/>
    <w:rsid w:val="00985A03"/>
    <w:rsid w:val="0098655F"/>
    <w:rsid w:val="0099059B"/>
    <w:rsid w:val="00992322"/>
    <w:rsid w:val="00994FFB"/>
    <w:rsid w:val="00995EDE"/>
    <w:rsid w:val="00996708"/>
    <w:rsid w:val="00997619"/>
    <w:rsid w:val="009A1AA0"/>
    <w:rsid w:val="009A2A0F"/>
    <w:rsid w:val="009A579A"/>
    <w:rsid w:val="009A7BDB"/>
    <w:rsid w:val="009B119B"/>
    <w:rsid w:val="009B12E4"/>
    <w:rsid w:val="009B480D"/>
    <w:rsid w:val="009B48AD"/>
    <w:rsid w:val="009B4DB6"/>
    <w:rsid w:val="009C0731"/>
    <w:rsid w:val="009C1088"/>
    <w:rsid w:val="009C40E4"/>
    <w:rsid w:val="009C6F1C"/>
    <w:rsid w:val="009C73C8"/>
    <w:rsid w:val="009D0BCB"/>
    <w:rsid w:val="009D0E1D"/>
    <w:rsid w:val="009D1C96"/>
    <w:rsid w:val="009D3F11"/>
    <w:rsid w:val="009D4800"/>
    <w:rsid w:val="009E0728"/>
    <w:rsid w:val="009E1E2E"/>
    <w:rsid w:val="009E2F2B"/>
    <w:rsid w:val="009E424A"/>
    <w:rsid w:val="009E54B9"/>
    <w:rsid w:val="009E60B6"/>
    <w:rsid w:val="009F24D6"/>
    <w:rsid w:val="009F332A"/>
    <w:rsid w:val="009F399C"/>
    <w:rsid w:val="009F54E4"/>
    <w:rsid w:val="009F64C7"/>
    <w:rsid w:val="009F72AB"/>
    <w:rsid w:val="009F7749"/>
    <w:rsid w:val="00A07FE2"/>
    <w:rsid w:val="00A11BC3"/>
    <w:rsid w:val="00A13245"/>
    <w:rsid w:val="00A17E33"/>
    <w:rsid w:val="00A21EB3"/>
    <w:rsid w:val="00A2225B"/>
    <w:rsid w:val="00A2348E"/>
    <w:rsid w:val="00A24295"/>
    <w:rsid w:val="00A24C0E"/>
    <w:rsid w:val="00A24F10"/>
    <w:rsid w:val="00A27027"/>
    <w:rsid w:val="00A30895"/>
    <w:rsid w:val="00A31479"/>
    <w:rsid w:val="00A328F8"/>
    <w:rsid w:val="00A32BA3"/>
    <w:rsid w:val="00A34181"/>
    <w:rsid w:val="00A34CAD"/>
    <w:rsid w:val="00A363C1"/>
    <w:rsid w:val="00A40672"/>
    <w:rsid w:val="00A4332E"/>
    <w:rsid w:val="00A43F7C"/>
    <w:rsid w:val="00A455A3"/>
    <w:rsid w:val="00A530CA"/>
    <w:rsid w:val="00A53324"/>
    <w:rsid w:val="00A542DF"/>
    <w:rsid w:val="00A5698C"/>
    <w:rsid w:val="00A60A08"/>
    <w:rsid w:val="00A6339E"/>
    <w:rsid w:val="00A65958"/>
    <w:rsid w:val="00A66BE2"/>
    <w:rsid w:val="00A80A99"/>
    <w:rsid w:val="00A8104D"/>
    <w:rsid w:val="00A8233D"/>
    <w:rsid w:val="00A82AF8"/>
    <w:rsid w:val="00A83F72"/>
    <w:rsid w:val="00A83FD5"/>
    <w:rsid w:val="00A84943"/>
    <w:rsid w:val="00A91B09"/>
    <w:rsid w:val="00A92242"/>
    <w:rsid w:val="00A93738"/>
    <w:rsid w:val="00AA0819"/>
    <w:rsid w:val="00AA309A"/>
    <w:rsid w:val="00AA3182"/>
    <w:rsid w:val="00AA3832"/>
    <w:rsid w:val="00AA50D1"/>
    <w:rsid w:val="00AA5B5B"/>
    <w:rsid w:val="00AB309D"/>
    <w:rsid w:val="00AB4983"/>
    <w:rsid w:val="00AB4D6C"/>
    <w:rsid w:val="00AB4D77"/>
    <w:rsid w:val="00AB5231"/>
    <w:rsid w:val="00AB6688"/>
    <w:rsid w:val="00AB6AAF"/>
    <w:rsid w:val="00AB7351"/>
    <w:rsid w:val="00AC1503"/>
    <w:rsid w:val="00AC3FD3"/>
    <w:rsid w:val="00AC6F43"/>
    <w:rsid w:val="00AC7724"/>
    <w:rsid w:val="00AD6BC9"/>
    <w:rsid w:val="00AE0EC2"/>
    <w:rsid w:val="00AE39CB"/>
    <w:rsid w:val="00AE4C76"/>
    <w:rsid w:val="00AE4D50"/>
    <w:rsid w:val="00AE7BFC"/>
    <w:rsid w:val="00AE7CD0"/>
    <w:rsid w:val="00AF0834"/>
    <w:rsid w:val="00AF2920"/>
    <w:rsid w:val="00AF6C56"/>
    <w:rsid w:val="00AF6F11"/>
    <w:rsid w:val="00AF763A"/>
    <w:rsid w:val="00B04255"/>
    <w:rsid w:val="00B061E0"/>
    <w:rsid w:val="00B12032"/>
    <w:rsid w:val="00B1417D"/>
    <w:rsid w:val="00B16397"/>
    <w:rsid w:val="00B169EE"/>
    <w:rsid w:val="00B206A4"/>
    <w:rsid w:val="00B22BD8"/>
    <w:rsid w:val="00B25034"/>
    <w:rsid w:val="00B25B62"/>
    <w:rsid w:val="00B26514"/>
    <w:rsid w:val="00B27921"/>
    <w:rsid w:val="00B27EB7"/>
    <w:rsid w:val="00B30A44"/>
    <w:rsid w:val="00B31781"/>
    <w:rsid w:val="00B35521"/>
    <w:rsid w:val="00B40FD8"/>
    <w:rsid w:val="00B41001"/>
    <w:rsid w:val="00B418B6"/>
    <w:rsid w:val="00B435A0"/>
    <w:rsid w:val="00B44C44"/>
    <w:rsid w:val="00B51DE7"/>
    <w:rsid w:val="00B52198"/>
    <w:rsid w:val="00B558F3"/>
    <w:rsid w:val="00B56493"/>
    <w:rsid w:val="00B5650D"/>
    <w:rsid w:val="00B576F1"/>
    <w:rsid w:val="00B6112D"/>
    <w:rsid w:val="00B61CEA"/>
    <w:rsid w:val="00B62635"/>
    <w:rsid w:val="00B643F7"/>
    <w:rsid w:val="00B67C07"/>
    <w:rsid w:val="00B70C3B"/>
    <w:rsid w:val="00B70EFB"/>
    <w:rsid w:val="00B71130"/>
    <w:rsid w:val="00B733D3"/>
    <w:rsid w:val="00B736EE"/>
    <w:rsid w:val="00B73E4E"/>
    <w:rsid w:val="00B76525"/>
    <w:rsid w:val="00B86772"/>
    <w:rsid w:val="00B91F09"/>
    <w:rsid w:val="00B93C6C"/>
    <w:rsid w:val="00B94FD7"/>
    <w:rsid w:val="00B9666C"/>
    <w:rsid w:val="00BA0138"/>
    <w:rsid w:val="00BA02EA"/>
    <w:rsid w:val="00BA1CBC"/>
    <w:rsid w:val="00BA528D"/>
    <w:rsid w:val="00BA68CD"/>
    <w:rsid w:val="00BA79B6"/>
    <w:rsid w:val="00BB4537"/>
    <w:rsid w:val="00BB76CE"/>
    <w:rsid w:val="00BB7801"/>
    <w:rsid w:val="00BB7CFA"/>
    <w:rsid w:val="00BB7FE7"/>
    <w:rsid w:val="00BC0E38"/>
    <w:rsid w:val="00BC5716"/>
    <w:rsid w:val="00BC7714"/>
    <w:rsid w:val="00BD25A2"/>
    <w:rsid w:val="00BD2E39"/>
    <w:rsid w:val="00BD5C9C"/>
    <w:rsid w:val="00BD75E3"/>
    <w:rsid w:val="00BD7DEA"/>
    <w:rsid w:val="00BE2B6C"/>
    <w:rsid w:val="00BE6840"/>
    <w:rsid w:val="00BE6EDC"/>
    <w:rsid w:val="00BE7093"/>
    <w:rsid w:val="00BE7D50"/>
    <w:rsid w:val="00BF1639"/>
    <w:rsid w:val="00BF2778"/>
    <w:rsid w:val="00BF665C"/>
    <w:rsid w:val="00C00AC9"/>
    <w:rsid w:val="00C03D88"/>
    <w:rsid w:val="00C0420F"/>
    <w:rsid w:val="00C07B10"/>
    <w:rsid w:val="00C11212"/>
    <w:rsid w:val="00C11F5C"/>
    <w:rsid w:val="00C120F3"/>
    <w:rsid w:val="00C1393A"/>
    <w:rsid w:val="00C1631C"/>
    <w:rsid w:val="00C17935"/>
    <w:rsid w:val="00C21A63"/>
    <w:rsid w:val="00C2292E"/>
    <w:rsid w:val="00C30372"/>
    <w:rsid w:val="00C30B17"/>
    <w:rsid w:val="00C317BD"/>
    <w:rsid w:val="00C334C4"/>
    <w:rsid w:val="00C3453F"/>
    <w:rsid w:val="00C35E27"/>
    <w:rsid w:val="00C4089B"/>
    <w:rsid w:val="00C416B8"/>
    <w:rsid w:val="00C41D85"/>
    <w:rsid w:val="00C43B49"/>
    <w:rsid w:val="00C44439"/>
    <w:rsid w:val="00C4491A"/>
    <w:rsid w:val="00C44B45"/>
    <w:rsid w:val="00C454EF"/>
    <w:rsid w:val="00C5496E"/>
    <w:rsid w:val="00C553BD"/>
    <w:rsid w:val="00C56546"/>
    <w:rsid w:val="00C576B3"/>
    <w:rsid w:val="00C57929"/>
    <w:rsid w:val="00C6713B"/>
    <w:rsid w:val="00C677FF"/>
    <w:rsid w:val="00C706F1"/>
    <w:rsid w:val="00C727F5"/>
    <w:rsid w:val="00C72E2C"/>
    <w:rsid w:val="00C732A8"/>
    <w:rsid w:val="00C7435C"/>
    <w:rsid w:val="00C757B4"/>
    <w:rsid w:val="00C77F42"/>
    <w:rsid w:val="00C80490"/>
    <w:rsid w:val="00C82190"/>
    <w:rsid w:val="00C8340A"/>
    <w:rsid w:val="00C84EB4"/>
    <w:rsid w:val="00C851F9"/>
    <w:rsid w:val="00C87230"/>
    <w:rsid w:val="00C875A5"/>
    <w:rsid w:val="00C9069F"/>
    <w:rsid w:val="00C95502"/>
    <w:rsid w:val="00C963CF"/>
    <w:rsid w:val="00C9675A"/>
    <w:rsid w:val="00C9731F"/>
    <w:rsid w:val="00CA0D1A"/>
    <w:rsid w:val="00CA1823"/>
    <w:rsid w:val="00CA3DA6"/>
    <w:rsid w:val="00CA47EE"/>
    <w:rsid w:val="00CA4A37"/>
    <w:rsid w:val="00CA4D68"/>
    <w:rsid w:val="00CA636D"/>
    <w:rsid w:val="00CA7191"/>
    <w:rsid w:val="00CB138C"/>
    <w:rsid w:val="00CB1707"/>
    <w:rsid w:val="00CB2095"/>
    <w:rsid w:val="00CB2291"/>
    <w:rsid w:val="00CB37F3"/>
    <w:rsid w:val="00CB3CC3"/>
    <w:rsid w:val="00CB420D"/>
    <w:rsid w:val="00CC08BE"/>
    <w:rsid w:val="00CC180F"/>
    <w:rsid w:val="00CC1CAF"/>
    <w:rsid w:val="00CC1CF3"/>
    <w:rsid w:val="00CC4895"/>
    <w:rsid w:val="00CC784A"/>
    <w:rsid w:val="00CD05D6"/>
    <w:rsid w:val="00CD477E"/>
    <w:rsid w:val="00CD5B87"/>
    <w:rsid w:val="00CD5C92"/>
    <w:rsid w:val="00CD765B"/>
    <w:rsid w:val="00CD7A7B"/>
    <w:rsid w:val="00CE2FA9"/>
    <w:rsid w:val="00CE4AD9"/>
    <w:rsid w:val="00CF0BF5"/>
    <w:rsid w:val="00CF1E38"/>
    <w:rsid w:val="00CF227A"/>
    <w:rsid w:val="00CF4EBA"/>
    <w:rsid w:val="00CF5386"/>
    <w:rsid w:val="00CF75C7"/>
    <w:rsid w:val="00D003CF"/>
    <w:rsid w:val="00D012A9"/>
    <w:rsid w:val="00D04194"/>
    <w:rsid w:val="00D04519"/>
    <w:rsid w:val="00D06AEE"/>
    <w:rsid w:val="00D10B5D"/>
    <w:rsid w:val="00D10C51"/>
    <w:rsid w:val="00D14BF2"/>
    <w:rsid w:val="00D1507B"/>
    <w:rsid w:val="00D15405"/>
    <w:rsid w:val="00D215FA"/>
    <w:rsid w:val="00D25468"/>
    <w:rsid w:val="00D27274"/>
    <w:rsid w:val="00D272C8"/>
    <w:rsid w:val="00D27BF8"/>
    <w:rsid w:val="00D33B42"/>
    <w:rsid w:val="00D340BD"/>
    <w:rsid w:val="00D3413A"/>
    <w:rsid w:val="00D373C8"/>
    <w:rsid w:val="00D40238"/>
    <w:rsid w:val="00D43C2A"/>
    <w:rsid w:val="00D44A3C"/>
    <w:rsid w:val="00D54490"/>
    <w:rsid w:val="00D57862"/>
    <w:rsid w:val="00D627D3"/>
    <w:rsid w:val="00D62A83"/>
    <w:rsid w:val="00D631B3"/>
    <w:rsid w:val="00D6386A"/>
    <w:rsid w:val="00D64FCE"/>
    <w:rsid w:val="00D65754"/>
    <w:rsid w:val="00D67ABC"/>
    <w:rsid w:val="00D7035E"/>
    <w:rsid w:val="00D713C0"/>
    <w:rsid w:val="00D72D54"/>
    <w:rsid w:val="00D730FA"/>
    <w:rsid w:val="00D777BA"/>
    <w:rsid w:val="00D8325B"/>
    <w:rsid w:val="00D852DB"/>
    <w:rsid w:val="00D856F6"/>
    <w:rsid w:val="00D864F8"/>
    <w:rsid w:val="00D87441"/>
    <w:rsid w:val="00D91D77"/>
    <w:rsid w:val="00D9267B"/>
    <w:rsid w:val="00D938B3"/>
    <w:rsid w:val="00D93923"/>
    <w:rsid w:val="00D975DE"/>
    <w:rsid w:val="00D97DDB"/>
    <w:rsid w:val="00DA522E"/>
    <w:rsid w:val="00DA6563"/>
    <w:rsid w:val="00DA75D6"/>
    <w:rsid w:val="00DB04F9"/>
    <w:rsid w:val="00DB1739"/>
    <w:rsid w:val="00DB1B53"/>
    <w:rsid w:val="00DB7D77"/>
    <w:rsid w:val="00DC0948"/>
    <w:rsid w:val="00DC3714"/>
    <w:rsid w:val="00DD08AA"/>
    <w:rsid w:val="00DD10AE"/>
    <w:rsid w:val="00DD1998"/>
    <w:rsid w:val="00DD2CCF"/>
    <w:rsid w:val="00DD43F0"/>
    <w:rsid w:val="00DD6A21"/>
    <w:rsid w:val="00DD6AAE"/>
    <w:rsid w:val="00DE599B"/>
    <w:rsid w:val="00DE5B81"/>
    <w:rsid w:val="00DE5FBD"/>
    <w:rsid w:val="00DE778C"/>
    <w:rsid w:val="00DF50F3"/>
    <w:rsid w:val="00DF55E5"/>
    <w:rsid w:val="00E010E8"/>
    <w:rsid w:val="00E01F45"/>
    <w:rsid w:val="00E0332D"/>
    <w:rsid w:val="00E039CC"/>
    <w:rsid w:val="00E11E16"/>
    <w:rsid w:val="00E12949"/>
    <w:rsid w:val="00E1558B"/>
    <w:rsid w:val="00E173B1"/>
    <w:rsid w:val="00E176D9"/>
    <w:rsid w:val="00E17C60"/>
    <w:rsid w:val="00E22AA7"/>
    <w:rsid w:val="00E22BCD"/>
    <w:rsid w:val="00E245A8"/>
    <w:rsid w:val="00E249C0"/>
    <w:rsid w:val="00E25F9B"/>
    <w:rsid w:val="00E318EE"/>
    <w:rsid w:val="00E32DED"/>
    <w:rsid w:val="00E3371C"/>
    <w:rsid w:val="00E362C6"/>
    <w:rsid w:val="00E42978"/>
    <w:rsid w:val="00E42DBD"/>
    <w:rsid w:val="00E43B53"/>
    <w:rsid w:val="00E45549"/>
    <w:rsid w:val="00E46571"/>
    <w:rsid w:val="00E47FE4"/>
    <w:rsid w:val="00E50755"/>
    <w:rsid w:val="00E50CDC"/>
    <w:rsid w:val="00E55071"/>
    <w:rsid w:val="00E56507"/>
    <w:rsid w:val="00E56F60"/>
    <w:rsid w:val="00E57421"/>
    <w:rsid w:val="00E644AA"/>
    <w:rsid w:val="00E664A8"/>
    <w:rsid w:val="00E66558"/>
    <w:rsid w:val="00E67483"/>
    <w:rsid w:val="00E701EF"/>
    <w:rsid w:val="00E71010"/>
    <w:rsid w:val="00E72335"/>
    <w:rsid w:val="00E73475"/>
    <w:rsid w:val="00E74038"/>
    <w:rsid w:val="00E75033"/>
    <w:rsid w:val="00E80B2D"/>
    <w:rsid w:val="00E81B5C"/>
    <w:rsid w:val="00E821AB"/>
    <w:rsid w:val="00E82F7A"/>
    <w:rsid w:val="00E839AA"/>
    <w:rsid w:val="00E839F0"/>
    <w:rsid w:val="00E842EF"/>
    <w:rsid w:val="00E85FFF"/>
    <w:rsid w:val="00E87CFF"/>
    <w:rsid w:val="00E94B6E"/>
    <w:rsid w:val="00E96D28"/>
    <w:rsid w:val="00EA1456"/>
    <w:rsid w:val="00EA1833"/>
    <w:rsid w:val="00EA2EE9"/>
    <w:rsid w:val="00EA4A8A"/>
    <w:rsid w:val="00EB4963"/>
    <w:rsid w:val="00EB4BA9"/>
    <w:rsid w:val="00EB5EEC"/>
    <w:rsid w:val="00EB6EA5"/>
    <w:rsid w:val="00EC0CAE"/>
    <w:rsid w:val="00EC0D98"/>
    <w:rsid w:val="00EC3298"/>
    <w:rsid w:val="00EC5009"/>
    <w:rsid w:val="00EC6D1E"/>
    <w:rsid w:val="00EC6EAF"/>
    <w:rsid w:val="00EC71D5"/>
    <w:rsid w:val="00ED00EB"/>
    <w:rsid w:val="00ED2159"/>
    <w:rsid w:val="00ED355F"/>
    <w:rsid w:val="00ED35FE"/>
    <w:rsid w:val="00ED3AC0"/>
    <w:rsid w:val="00EE2862"/>
    <w:rsid w:val="00EE2AE6"/>
    <w:rsid w:val="00EE3E93"/>
    <w:rsid w:val="00EE44E8"/>
    <w:rsid w:val="00EE6CE1"/>
    <w:rsid w:val="00EE7132"/>
    <w:rsid w:val="00EF14B9"/>
    <w:rsid w:val="00EF1A42"/>
    <w:rsid w:val="00EF2DDA"/>
    <w:rsid w:val="00EF3204"/>
    <w:rsid w:val="00EF69B6"/>
    <w:rsid w:val="00EF74AA"/>
    <w:rsid w:val="00F0397D"/>
    <w:rsid w:val="00F0719E"/>
    <w:rsid w:val="00F102CC"/>
    <w:rsid w:val="00F106EF"/>
    <w:rsid w:val="00F126E2"/>
    <w:rsid w:val="00F1344F"/>
    <w:rsid w:val="00F158FB"/>
    <w:rsid w:val="00F171FA"/>
    <w:rsid w:val="00F1769B"/>
    <w:rsid w:val="00F20094"/>
    <w:rsid w:val="00F25AE1"/>
    <w:rsid w:val="00F25B1C"/>
    <w:rsid w:val="00F25CD6"/>
    <w:rsid w:val="00F2601B"/>
    <w:rsid w:val="00F261B5"/>
    <w:rsid w:val="00F270E9"/>
    <w:rsid w:val="00F31DB4"/>
    <w:rsid w:val="00F35DB1"/>
    <w:rsid w:val="00F36C68"/>
    <w:rsid w:val="00F40B27"/>
    <w:rsid w:val="00F42441"/>
    <w:rsid w:val="00F44EDE"/>
    <w:rsid w:val="00F45629"/>
    <w:rsid w:val="00F50D95"/>
    <w:rsid w:val="00F5175A"/>
    <w:rsid w:val="00F52636"/>
    <w:rsid w:val="00F5355F"/>
    <w:rsid w:val="00F537B9"/>
    <w:rsid w:val="00F537E3"/>
    <w:rsid w:val="00F5499F"/>
    <w:rsid w:val="00F60E55"/>
    <w:rsid w:val="00F6306E"/>
    <w:rsid w:val="00F63924"/>
    <w:rsid w:val="00F67C84"/>
    <w:rsid w:val="00F70156"/>
    <w:rsid w:val="00F73B55"/>
    <w:rsid w:val="00F743BB"/>
    <w:rsid w:val="00F7445E"/>
    <w:rsid w:val="00F8051A"/>
    <w:rsid w:val="00F878B6"/>
    <w:rsid w:val="00F927B1"/>
    <w:rsid w:val="00F93D35"/>
    <w:rsid w:val="00F95879"/>
    <w:rsid w:val="00F9607E"/>
    <w:rsid w:val="00FA02CE"/>
    <w:rsid w:val="00FA1EAE"/>
    <w:rsid w:val="00FA2781"/>
    <w:rsid w:val="00FA3BD4"/>
    <w:rsid w:val="00FA5AD9"/>
    <w:rsid w:val="00FB14B9"/>
    <w:rsid w:val="00FB3713"/>
    <w:rsid w:val="00FB4B53"/>
    <w:rsid w:val="00FB5D10"/>
    <w:rsid w:val="00FC3EC5"/>
    <w:rsid w:val="00FC480B"/>
    <w:rsid w:val="00FD0570"/>
    <w:rsid w:val="00FD0DA6"/>
    <w:rsid w:val="00FD1991"/>
    <w:rsid w:val="00FD1B6C"/>
    <w:rsid w:val="00FD20E4"/>
    <w:rsid w:val="00FD334A"/>
    <w:rsid w:val="00FD5E27"/>
    <w:rsid w:val="00FD74EC"/>
    <w:rsid w:val="00FE2594"/>
    <w:rsid w:val="00FE306C"/>
    <w:rsid w:val="00FE3D16"/>
    <w:rsid w:val="00FE4677"/>
    <w:rsid w:val="00FF0559"/>
    <w:rsid w:val="00FF0D65"/>
    <w:rsid w:val="00FF3F73"/>
    <w:rsid w:val="00FF4CD8"/>
    <w:rsid w:val="00FF4F88"/>
    <w:rsid w:val="00FF71D2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5FE3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B47"/>
    <w:pPr>
      <w:spacing w:line="256" w:lineRule="auto"/>
    </w:pPr>
  </w:style>
  <w:style w:type="paragraph" w:styleId="Naslov1">
    <w:name w:val="heading 1"/>
    <w:basedOn w:val="Naslov2"/>
    <w:next w:val="Normal"/>
    <w:link w:val="Naslov1Char"/>
    <w:uiPriority w:val="9"/>
    <w:qFormat/>
    <w:rsid w:val="00EC6EAF"/>
    <w:pPr>
      <w:numPr>
        <w:ilvl w:val="0"/>
      </w:numPr>
      <w:jc w:val="center"/>
      <w:outlineLvl w:val="0"/>
    </w:pPr>
    <w:rPr>
      <w:sz w:val="28"/>
      <w:szCs w:val="32"/>
    </w:rPr>
  </w:style>
  <w:style w:type="paragraph" w:styleId="Naslov2">
    <w:name w:val="heading 2"/>
    <w:basedOn w:val="Naslov3"/>
    <w:next w:val="Normal"/>
    <w:link w:val="Naslov2Char"/>
    <w:uiPriority w:val="9"/>
    <w:unhideWhenUsed/>
    <w:qFormat/>
    <w:rsid w:val="00EC6EAF"/>
    <w:pPr>
      <w:numPr>
        <w:ilvl w:val="1"/>
      </w:numPr>
      <w:ind w:left="397" w:hanging="397"/>
      <w:outlineLvl w:val="1"/>
    </w:p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EAF"/>
    <w:pPr>
      <w:keepNext/>
      <w:keepLines/>
      <w:numPr>
        <w:ilvl w:val="2"/>
        <w:numId w:val="41"/>
      </w:numPr>
      <w:spacing w:before="240" w:after="240" w:line="240" w:lineRule="auto"/>
      <w:outlineLvl w:val="2"/>
    </w:pPr>
    <w:rPr>
      <w:rFonts w:eastAsiaTheme="majorEastAsia" w:cstheme="minorHAnsi"/>
      <w:b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6EAF"/>
    <w:pPr>
      <w:keepNext/>
      <w:keepLines/>
      <w:numPr>
        <w:ilvl w:val="3"/>
        <w:numId w:val="41"/>
      </w:numPr>
      <w:spacing w:before="240" w:after="240" w:line="240" w:lineRule="auto"/>
      <w:outlineLvl w:val="3"/>
    </w:pPr>
    <w:rPr>
      <w:rFonts w:ascii="Calibri" w:eastAsiaTheme="majorEastAsia" w:hAnsi="Calibri" w:cstheme="majorBidi"/>
      <w:b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6748"/>
    <w:pPr>
      <w:keepNext/>
      <w:keepLines/>
      <w:numPr>
        <w:ilvl w:val="4"/>
        <w:numId w:val="4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6748"/>
    <w:pPr>
      <w:keepNext/>
      <w:keepLines/>
      <w:numPr>
        <w:ilvl w:val="5"/>
        <w:numId w:val="4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6748"/>
    <w:pPr>
      <w:keepNext/>
      <w:keepLines/>
      <w:numPr>
        <w:ilvl w:val="6"/>
        <w:numId w:val="4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6748"/>
    <w:pPr>
      <w:keepNext/>
      <w:keepLines/>
      <w:numPr>
        <w:ilvl w:val="7"/>
        <w:numId w:val="4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6748"/>
    <w:pPr>
      <w:keepNext/>
      <w:keepLines/>
      <w:numPr>
        <w:ilvl w:val="8"/>
        <w:numId w:val="4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91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3D7"/>
  </w:style>
  <w:style w:type="paragraph" w:styleId="Podnoje">
    <w:name w:val="footer"/>
    <w:basedOn w:val="Normal"/>
    <w:link w:val="PodnojeChar"/>
    <w:uiPriority w:val="99"/>
    <w:unhideWhenUsed/>
    <w:rsid w:val="00291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3D7"/>
  </w:style>
  <w:style w:type="character" w:styleId="Hiperveza">
    <w:name w:val="Hyperlink"/>
    <w:basedOn w:val="Zadanifontodlomka"/>
    <w:uiPriority w:val="99"/>
    <w:unhideWhenUsed/>
    <w:rsid w:val="002913D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913D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22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106AC"/>
    <w:rPr>
      <w:color w:val="808080"/>
    </w:rPr>
  </w:style>
  <w:style w:type="paragraph" w:styleId="Odlomakpopisa">
    <w:name w:val="List Paragraph"/>
    <w:basedOn w:val="Normal"/>
    <w:uiPriority w:val="34"/>
    <w:qFormat/>
    <w:rsid w:val="00F537E3"/>
    <w:pPr>
      <w:spacing w:line="259" w:lineRule="auto"/>
      <w:ind w:left="720"/>
      <w:contextualSpacing/>
    </w:pPr>
  </w:style>
  <w:style w:type="paragraph" w:styleId="Bezproreda">
    <w:name w:val="No Spacing"/>
    <w:uiPriority w:val="1"/>
    <w:qFormat/>
    <w:rsid w:val="00125C1B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55E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EC6EAF"/>
    <w:rPr>
      <w:rFonts w:eastAsiaTheme="majorEastAsia" w:cstheme="minorHAns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C6EAF"/>
    <w:rPr>
      <w:rFonts w:eastAsiaTheme="majorEastAsia" w:cstheme="minorHAnsi"/>
      <w:b/>
    </w:rPr>
  </w:style>
  <w:style w:type="character" w:customStyle="1" w:styleId="Naslov3Char">
    <w:name w:val="Naslov 3 Char"/>
    <w:basedOn w:val="Zadanifontodlomka"/>
    <w:link w:val="Naslov3"/>
    <w:uiPriority w:val="9"/>
    <w:rsid w:val="00EC6EAF"/>
    <w:rPr>
      <w:rFonts w:eastAsiaTheme="majorEastAsia" w:cstheme="minorHAnsi"/>
      <w:b/>
    </w:rPr>
  </w:style>
  <w:style w:type="numbering" w:customStyle="1" w:styleId="Bezpopisa1">
    <w:name w:val="Bez popisa1"/>
    <w:next w:val="Bezpopisa"/>
    <w:uiPriority w:val="99"/>
    <w:semiHidden/>
    <w:unhideWhenUsed/>
    <w:rsid w:val="000B3A72"/>
  </w:style>
  <w:style w:type="paragraph" w:customStyle="1" w:styleId="xl77">
    <w:name w:val="xl77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3">
    <w:name w:val="xl83"/>
    <w:basedOn w:val="Normal"/>
    <w:rsid w:val="000B3A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4">
    <w:name w:val="xl84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3">
    <w:name w:val="xl93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0B3A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0B3A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8">
    <w:name w:val="xl98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9">
    <w:name w:val="xl99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3">
    <w:name w:val="xl103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0B3A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0B3A72"/>
    <w:rPr>
      <w:rFonts w:ascii="Segoe UI" w:hAnsi="Segoe UI" w:cs="Segoe UI"/>
      <w:sz w:val="18"/>
      <w:szCs w:val="18"/>
    </w:rPr>
  </w:style>
  <w:style w:type="table" w:styleId="Svijetlareetkatablice">
    <w:name w:val="Grid Table Light"/>
    <w:basedOn w:val="Obinatablica"/>
    <w:uiPriority w:val="40"/>
    <w:rsid w:val="000B3A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0B3A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B3A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3A7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3A7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3A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3A7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unhideWhenUsed/>
    <w:rsid w:val="000B3A72"/>
    <w:pPr>
      <w:spacing w:after="0" w:line="259" w:lineRule="auto"/>
    </w:pPr>
  </w:style>
  <w:style w:type="paragraph" w:styleId="TOCNaslov">
    <w:name w:val="TOC Heading"/>
    <w:basedOn w:val="Naslov1"/>
    <w:next w:val="Normal"/>
    <w:uiPriority w:val="39"/>
    <w:unhideWhenUsed/>
    <w:qFormat/>
    <w:rsid w:val="000B3A72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227" w:hanging="227"/>
    </w:pPr>
  </w:style>
  <w:style w:type="paragraph" w:styleId="Sadraj2">
    <w:name w:val="toc 2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618" w:hanging="397"/>
    </w:pPr>
  </w:style>
  <w:style w:type="paragraph" w:styleId="Sadraj3">
    <w:name w:val="toc 3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624"/>
    </w:pPr>
  </w:style>
  <w:style w:type="character" w:styleId="SlijeenaHiperveza">
    <w:name w:val="FollowedHyperlink"/>
    <w:basedOn w:val="Zadanifontodlomka"/>
    <w:uiPriority w:val="99"/>
    <w:semiHidden/>
    <w:unhideWhenUsed/>
    <w:rsid w:val="000B3A72"/>
    <w:rPr>
      <w:color w:val="954F72"/>
      <w:u w:val="single"/>
    </w:rPr>
  </w:style>
  <w:style w:type="paragraph" w:customStyle="1" w:styleId="xl65">
    <w:name w:val="xl65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6">
    <w:name w:val="xl66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rsid w:val="000B3A72"/>
    <w:pP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0B3A72"/>
    <w:pPr>
      <w:shd w:val="clear" w:color="000000" w:fill="ADD8E6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0B3A7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0B3A72"/>
    <w:pPr>
      <w:shd w:val="clear" w:color="000000" w:fill="9BC2E6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0B3A72"/>
    <w:pPr>
      <w:shd w:val="clear" w:color="000000" w:fill="BDD7EE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0B3A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63">
    <w:name w:val="xl63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character" w:customStyle="1" w:styleId="OpisslikeChar">
    <w:name w:val="Opis slike Char"/>
    <w:basedOn w:val="Zadanifontodlomka"/>
    <w:link w:val="Opisslike"/>
    <w:uiPriority w:val="35"/>
    <w:rsid w:val="000B3A72"/>
    <w:rPr>
      <w:i/>
      <w:iCs/>
      <w:color w:val="44546A" w:themeColor="text2"/>
      <w:sz w:val="18"/>
      <w:szCs w:val="18"/>
    </w:rPr>
  </w:style>
  <w:style w:type="character" w:customStyle="1" w:styleId="xrtl">
    <w:name w:val="xr_tl"/>
    <w:basedOn w:val="Zadanifontodlomka"/>
    <w:rsid w:val="00417332"/>
  </w:style>
  <w:style w:type="paragraph" w:styleId="Naslov">
    <w:name w:val="Title"/>
    <w:basedOn w:val="Normal"/>
    <w:next w:val="Normal"/>
    <w:link w:val="NaslovChar"/>
    <w:uiPriority w:val="10"/>
    <w:qFormat/>
    <w:rsid w:val="00DD1998"/>
    <w:pPr>
      <w:spacing w:before="360" w:after="36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1998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numbering" w:customStyle="1" w:styleId="Stil1">
    <w:name w:val="Stil1"/>
    <w:uiPriority w:val="99"/>
    <w:rsid w:val="00FE4677"/>
    <w:pPr>
      <w:numPr>
        <w:numId w:val="31"/>
      </w:numPr>
    </w:pPr>
  </w:style>
  <w:style w:type="character" w:customStyle="1" w:styleId="Naslov4Char">
    <w:name w:val="Naslov 4 Char"/>
    <w:basedOn w:val="Zadanifontodlomka"/>
    <w:link w:val="Naslov4"/>
    <w:uiPriority w:val="9"/>
    <w:rsid w:val="00EC6EAF"/>
    <w:rPr>
      <w:rFonts w:ascii="Calibri" w:eastAsiaTheme="majorEastAsia" w:hAnsi="Calibri" w:cstheme="majorBidi"/>
      <w:b/>
      <w:iCs/>
    </w:rPr>
  </w:style>
  <w:style w:type="character" w:customStyle="1" w:styleId="Naslov5Char">
    <w:name w:val="Naslov 5 Char"/>
    <w:basedOn w:val="Zadanifontodlomka"/>
    <w:link w:val="Naslov5"/>
    <w:uiPriority w:val="9"/>
    <w:rsid w:val="0087674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674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674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67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67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draj4">
    <w:name w:val="toc 4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3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412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1010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zakon.hr/cms.htm?id=594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.zuc.corp\ZUC_corporate\Zajedni&#269;ki%20dokumenti\Izvje&#353;taji\Izvje&#353;taji%202025\POLUGODI&#352;NJI%20IZVJE&#352;TAJ%20O%20IZVR&#352;ENJU%20FINANCIJSKOG%20PLANA%20ZA%202025.%20GODINU\Prihod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.zuc.corp\ZUC_corporate\Zajedni&#269;ki%20dokumenti\Izvje&#353;taji\Izvje&#353;taji%202025\POLUGODI&#352;NJI%20IZVJE&#352;TAJ%20O%20IZVR&#352;ENJU%20FINANCIJSKOG%20PLANA%20ZA%202025.%20GODINU\Rashodi%20i%20izdac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9608182062306886E-2"/>
          <c:y val="3.8807549832421941E-2"/>
          <c:w val="0.92479280936609687"/>
          <c:h val="0.7140633615894149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List1!$C$23</c:f>
              <c:strCache>
                <c:ptCount val="1"/>
                <c:pt idx="0">
                  <c:v>OSTVARENJE I-VI 2024.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2"/>
              <c:layout>
                <c:manualLayout>
                  <c:x val="-3.5933205698841222E-17"/>
                  <c:y val="-1.0583877227024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List1!$B$24:$B$32</c:f>
              <c:strCache>
                <c:ptCount val="9"/>
                <c:pt idx="0">
                  <c:v>PRIHODI POSLOVANJA</c:v>
                </c:pt>
                <c:pt idx="1">
                  <c:v>Pomoći unutar općeg proračuna</c:v>
                </c:pt>
                <c:pt idx="2">
                  <c:v>Prihodi od imovine</c:v>
                </c:pt>
                <c:pt idx="3">
                  <c:v>Prihodi po posebnim propisima</c:v>
                </c:pt>
                <c:pt idx="4">
                  <c:v>Prihodi od donacija</c:v>
                </c:pt>
                <c:pt idx="5">
                  <c:v>Ostali prihodi</c:v>
                </c:pt>
                <c:pt idx="6">
                  <c:v>PRIHODI OD PRODAJE NEFINANCIJSKE IMOVINE</c:v>
                </c:pt>
                <c:pt idx="7">
                  <c:v>PRIMICI OD FINANCIJSKE IMOVINE I ZADUŽIVANJA</c:v>
                </c:pt>
                <c:pt idx="8">
                  <c:v>PRIHODI I PRIMICI UKUPNO</c:v>
                </c:pt>
              </c:strCache>
            </c:strRef>
          </c:cat>
          <c:val>
            <c:numRef>
              <c:f>List1!$C$24:$C$32</c:f>
              <c:numCache>
                <c:formatCode>#,##0.00</c:formatCode>
                <c:ptCount val="9"/>
                <c:pt idx="0">
                  <c:v>6591703.2400000002</c:v>
                </c:pt>
                <c:pt idx="1">
                  <c:v>172194.8</c:v>
                </c:pt>
                <c:pt idx="2">
                  <c:v>6303447.1799999997</c:v>
                </c:pt>
                <c:pt idx="3">
                  <c:v>342.78</c:v>
                </c:pt>
                <c:pt idx="4">
                  <c:v>114354.54</c:v>
                </c:pt>
                <c:pt idx="5">
                  <c:v>1363.94</c:v>
                </c:pt>
                <c:pt idx="6">
                  <c:v>0</c:v>
                </c:pt>
                <c:pt idx="7">
                  <c:v>0</c:v>
                </c:pt>
                <c:pt idx="8">
                  <c:v>6591703.2400000002</c:v>
                </c:pt>
              </c:numCache>
            </c:numRef>
          </c:val>
        </c:ser>
        <c:ser>
          <c:idx val="1"/>
          <c:order val="1"/>
          <c:tx>
            <c:strRef>
              <c:f>List1!$D$23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1"/>
              <c:layout>
                <c:manualLayout>
                  <c:x val="-1.1760094080752646E-2"/>
                  <c:y val="7.0559181513493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4373282279536489E-16"/>
                  <c:y val="-1.0583877227024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List1!$B$24:$B$32</c:f>
              <c:strCache>
                <c:ptCount val="9"/>
                <c:pt idx="0">
                  <c:v>PRIHODI POSLOVANJA</c:v>
                </c:pt>
                <c:pt idx="1">
                  <c:v>Pomoći unutar općeg proračuna</c:v>
                </c:pt>
                <c:pt idx="2">
                  <c:v>Prihodi od imovine</c:v>
                </c:pt>
                <c:pt idx="3">
                  <c:v>Prihodi po posebnim propisima</c:v>
                </c:pt>
                <c:pt idx="4">
                  <c:v>Prihodi od donacija</c:v>
                </c:pt>
                <c:pt idx="5">
                  <c:v>Ostali prihodi</c:v>
                </c:pt>
                <c:pt idx="6">
                  <c:v>PRIHODI OD PRODAJE NEFINANCIJSKE IMOVINE</c:v>
                </c:pt>
                <c:pt idx="7">
                  <c:v>PRIMICI OD FINANCIJSKE IMOVINE I ZADUŽIVANJA</c:v>
                </c:pt>
                <c:pt idx="8">
                  <c:v>PRIHODI I PRIMICI UKUPNO</c:v>
                </c:pt>
              </c:strCache>
            </c:strRef>
          </c:cat>
          <c:val>
            <c:numRef>
              <c:f>List1!$D$24:$D$32</c:f>
              <c:numCache>
                <c:formatCode>#,##0.00</c:formatCode>
                <c:ptCount val="9"/>
                <c:pt idx="0">
                  <c:v>17290223.969999999</c:v>
                </c:pt>
                <c:pt idx="1">
                  <c:v>3147983.19</c:v>
                </c:pt>
                <c:pt idx="2">
                  <c:v>13102500</c:v>
                </c:pt>
                <c:pt idx="3">
                  <c:v>1000</c:v>
                </c:pt>
                <c:pt idx="4">
                  <c:v>1035740.78</c:v>
                </c:pt>
                <c:pt idx="5">
                  <c:v>3000</c:v>
                </c:pt>
                <c:pt idx="6">
                  <c:v>11751.08</c:v>
                </c:pt>
                <c:pt idx="7">
                  <c:v>0</c:v>
                </c:pt>
                <c:pt idx="8">
                  <c:v>17301975.049999997</c:v>
                </c:pt>
              </c:numCache>
            </c:numRef>
          </c:val>
        </c:ser>
        <c:ser>
          <c:idx val="2"/>
          <c:order val="2"/>
          <c:tx>
            <c:strRef>
              <c:f>List1!$E$23</c:f>
              <c:strCache>
                <c:ptCount val="1"/>
                <c:pt idx="0">
                  <c:v>OSTVARENJE I-VI 2025.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1.7640141121128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15601724813798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7640141121128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List1!$B$24:$B$32</c:f>
              <c:strCache>
                <c:ptCount val="9"/>
                <c:pt idx="0">
                  <c:v>PRIHODI POSLOVANJA</c:v>
                </c:pt>
                <c:pt idx="1">
                  <c:v>Pomoći unutar općeg proračuna</c:v>
                </c:pt>
                <c:pt idx="2">
                  <c:v>Prihodi od imovine</c:v>
                </c:pt>
                <c:pt idx="3">
                  <c:v>Prihodi po posebnim propisima</c:v>
                </c:pt>
                <c:pt idx="4">
                  <c:v>Prihodi od donacija</c:v>
                </c:pt>
                <c:pt idx="5">
                  <c:v>Ostali prihodi</c:v>
                </c:pt>
                <c:pt idx="6">
                  <c:v>PRIHODI OD PRODAJE NEFINANCIJSKE IMOVINE</c:v>
                </c:pt>
                <c:pt idx="7">
                  <c:v>PRIMICI OD FINANCIJSKE IMOVINE I ZADUŽIVANJA</c:v>
                </c:pt>
                <c:pt idx="8">
                  <c:v>PRIHODI I PRIMICI UKUPNO</c:v>
                </c:pt>
              </c:strCache>
            </c:strRef>
          </c:cat>
          <c:val>
            <c:numRef>
              <c:f>List1!$E$24:$E$32</c:f>
              <c:numCache>
                <c:formatCode>#,##0.00</c:formatCode>
                <c:ptCount val="9"/>
                <c:pt idx="0">
                  <c:v>8093220.6900000004</c:v>
                </c:pt>
                <c:pt idx="1">
                  <c:v>381187.69</c:v>
                </c:pt>
                <c:pt idx="2">
                  <c:v>6829669.5999999996</c:v>
                </c:pt>
                <c:pt idx="3">
                  <c:v>14625.23</c:v>
                </c:pt>
                <c:pt idx="4">
                  <c:v>863497.67</c:v>
                </c:pt>
                <c:pt idx="5">
                  <c:v>4240.5</c:v>
                </c:pt>
                <c:pt idx="6">
                  <c:v>360</c:v>
                </c:pt>
                <c:pt idx="7">
                  <c:v>0</c:v>
                </c:pt>
                <c:pt idx="8">
                  <c:v>8093580.6900000004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526512"/>
        <c:axId val="481260928"/>
        <c:axId val="481335496"/>
      </c:bar3DChart>
      <c:catAx>
        <c:axId val="30552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1260928"/>
        <c:crosses val="autoZero"/>
        <c:auto val="1"/>
        <c:lblAlgn val="ctr"/>
        <c:lblOffset val="100"/>
        <c:noMultiLvlLbl val="0"/>
      </c:catAx>
      <c:valAx>
        <c:axId val="48126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05526512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8.8841183170410253E-3"/>
                <c:y val="0.16020517721049554"/>
              </c:manualLayout>
            </c:layout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erAx>
        <c:axId val="481335496"/>
        <c:scaling>
          <c:orientation val="minMax"/>
        </c:scaling>
        <c:delete val="1"/>
        <c:axPos val="b"/>
        <c:majorTickMark val="none"/>
        <c:minorTickMark val="none"/>
        <c:tickLblPos val="nextTo"/>
        <c:crossAx val="481260928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167906981051122"/>
          <c:y val="0.89460180592613792"/>
          <c:w val="0.65312167221747219"/>
          <c:h val="5.9534726090090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solidFill>
        <a:srgbClr val="00B0F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668408559866899E-2"/>
          <c:y val="3.8807549832421941E-2"/>
          <c:w val="0.930732582868537"/>
          <c:h val="0.7482723417731188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C__winGPS_TMP_MSPANJIC_00000000!$C$16</c:f>
              <c:strCache>
                <c:ptCount val="1"/>
                <c:pt idx="0">
                  <c:v>IZVRŠENJE I-VI 2024.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-9.8000784006272053E-3"/>
                  <c:y val="-1.0583877227024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5933205698841222E-17"/>
                  <c:y val="-1.7639795378373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C__winGPS_TMP_MSPANJIC_00000000!$B$17:$B$28</c:f>
              <c:strCache>
                <c:ptCount val="11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Rashodi za naknade šteta 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RASHODI I IZDACI UKUPNO</c:v>
                </c:pt>
              </c:strCache>
            </c:strRef>
          </c:cat>
          <c:val>
            <c:numRef>
              <c:f>C__winGPS_TMP_MSPANJIC_00000000!$C$17:$C$28</c:f>
              <c:numCache>
                <c:formatCode>#,##0.00</c:formatCode>
                <c:ptCount val="11"/>
                <c:pt idx="0">
                  <c:v>5726552.0999999996</c:v>
                </c:pt>
                <c:pt idx="1">
                  <c:v>258994.35</c:v>
                </c:pt>
                <c:pt idx="2">
                  <c:v>5050760.3600000003</c:v>
                </c:pt>
                <c:pt idx="3">
                  <c:v>16235.48</c:v>
                </c:pt>
                <c:pt idx="4">
                  <c:v>399319.62</c:v>
                </c:pt>
                <c:pt idx="5">
                  <c:v>1242.29</c:v>
                </c:pt>
                <c:pt idx="6">
                  <c:v>517493.52</c:v>
                </c:pt>
                <c:pt idx="7">
                  <c:v>0</c:v>
                </c:pt>
                <c:pt idx="8">
                  <c:v>517493.52</c:v>
                </c:pt>
                <c:pt idx="9">
                  <c:v>200000</c:v>
                </c:pt>
                <c:pt idx="10">
                  <c:v>6444045.6200000001</c:v>
                </c:pt>
              </c:numCache>
            </c:numRef>
          </c:val>
        </c:ser>
        <c:ser>
          <c:idx val="1"/>
          <c:order val="1"/>
          <c:tx>
            <c:strRef>
              <c:f>C__winGPS_TMP_MSPANJIC_00000000!$D$16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-1.4111836302698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9600156801254411E-3"/>
                  <c:y val="3.5279590756746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7.0559181513493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C__winGPS_TMP_MSPANJIC_00000000!$B$17:$B$28</c:f>
              <c:strCache>
                <c:ptCount val="11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Rashodi za naknade šteta 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RASHODI I IZDACI UKUPNO</c:v>
                </c:pt>
              </c:strCache>
            </c:strRef>
          </c:cat>
          <c:val>
            <c:numRef>
              <c:f>C__winGPS_TMP_MSPANJIC_00000000!$D$17:$D$28</c:f>
              <c:numCache>
                <c:formatCode>#,##0.00</c:formatCode>
                <c:ptCount val="11"/>
                <c:pt idx="0">
                  <c:v>15498283.460000001</c:v>
                </c:pt>
                <c:pt idx="1">
                  <c:v>889391.67</c:v>
                </c:pt>
                <c:pt idx="2">
                  <c:v>13598481.119999999</c:v>
                </c:pt>
                <c:pt idx="3">
                  <c:v>93654.67</c:v>
                </c:pt>
                <c:pt idx="4">
                  <c:v>864756</c:v>
                </c:pt>
                <c:pt idx="5">
                  <c:v>52000</c:v>
                </c:pt>
                <c:pt idx="6">
                  <c:v>4044403.66</c:v>
                </c:pt>
                <c:pt idx="7">
                  <c:v>5000</c:v>
                </c:pt>
                <c:pt idx="8">
                  <c:v>4039403.66</c:v>
                </c:pt>
                <c:pt idx="9">
                  <c:v>400000</c:v>
                </c:pt>
                <c:pt idx="10">
                  <c:v>19942687.120000001</c:v>
                </c:pt>
              </c:numCache>
            </c:numRef>
          </c:val>
        </c:ser>
        <c:ser>
          <c:idx val="2"/>
          <c:order val="2"/>
          <c:tx>
            <c:strRef>
              <c:f>C__winGPS_TMP_MSPANJIC_00000000!$E$16</c:f>
              <c:strCache>
                <c:ptCount val="1"/>
                <c:pt idx="0">
                  <c:v>IZVRŠENJE I-VI 2025.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1.9600156801254411E-2"/>
                  <c:y val="-3.527959075674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64014112112897E-2"/>
                  <c:y val="-3.52795907567472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96001568012544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6801254410034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5680125441003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764014112112897E-2"/>
                  <c:y val="-6.4678502549122562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120344962759703E-2"/>
                      <c:h val="4.22827284179881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C__winGPS_TMP_MSPANJIC_00000000!$B$17:$B$28</c:f>
              <c:strCache>
                <c:ptCount val="11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Rashodi za naknade šteta 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RASHODI I IZDACI UKUPNO</c:v>
                </c:pt>
              </c:strCache>
            </c:strRef>
          </c:cat>
          <c:val>
            <c:numRef>
              <c:f>C__winGPS_TMP_MSPANJIC_00000000!$E$17:$E$28</c:f>
              <c:numCache>
                <c:formatCode>#,##0.00</c:formatCode>
                <c:ptCount val="11"/>
                <c:pt idx="0">
                  <c:v>6769504.7999999998</c:v>
                </c:pt>
                <c:pt idx="1">
                  <c:v>494268.7</c:v>
                </c:pt>
                <c:pt idx="2">
                  <c:v>5839743.2199999997</c:v>
                </c:pt>
                <c:pt idx="3">
                  <c:v>65227.23</c:v>
                </c:pt>
                <c:pt idx="4">
                  <c:v>362615.52</c:v>
                </c:pt>
                <c:pt idx="5">
                  <c:v>7650.13</c:v>
                </c:pt>
                <c:pt idx="6">
                  <c:v>1524249.65</c:v>
                </c:pt>
                <c:pt idx="7">
                  <c:v>0</c:v>
                </c:pt>
                <c:pt idx="8">
                  <c:v>1524249.65</c:v>
                </c:pt>
                <c:pt idx="9">
                  <c:v>200000</c:v>
                </c:pt>
                <c:pt idx="10">
                  <c:v>8493754.4499999993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0808776"/>
        <c:axId val="480843824"/>
        <c:axId val="481341432"/>
      </c:bar3DChart>
      <c:catAx>
        <c:axId val="480808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25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0843824"/>
        <c:crosses val="autoZero"/>
        <c:auto val="1"/>
        <c:lblAlgn val="ctr"/>
        <c:lblOffset val="100"/>
        <c:noMultiLvlLbl val="0"/>
      </c:catAx>
      <c:valAx>
        <c:axId val="480843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0808776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2.1368183543893547E-2"/>
                <c:y val="0.1181444046430164"/>
              </c:manualLayout>
            </c:layout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erAx>
        <c:axId val="481341432"/>
        <c:scaling>
          <c:orientation val="minMax"/>
        </c:scaling>
        <c:delete val="1"/>
        <c:axPos val="b"/>
        <c:majorTickMark val="none"/>
        <c:minorTickMark val="none"/>
        <c:tickLblPos val="nextTo"/>
        <c:crossAx val="480843824"/>
        <c:crosses val="autoZero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B0F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2DD5-BEB6-4745-938B-9E3C36BB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10393</Words>
  <Characters>59243</Characters>
  <Application>Microsoft Office Word</Application>
  <DocSecurity>0</DocSecurity>
  <Lines>493</Lines>
  <Paragraphs>138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2025-07-03T12:11:00Z</dcterms:created>
  <dcterms:modified xsi:type="dcterms:W3CDTF">2025-07-23T09:27:00Z</dcterms:modified>
</cp:coreProperties>
</file>