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3655" w14:textId="77777777" w:rsidR="003512DB" w:rsidRPr="004C1AAD" w:rsidRDefault="003512DB" w:rsidP="003512DB">
      <w:pPr>
        <w:spacing w:after="120" w:line="240" w:lineRule="auto"/>
        <w:ind w:left="-57" w:right="6237"/>
        <w:jc w:val="center"/>
        <w:rPr>
          <w:rFonts w:eastAsia="Times New Roman" w:cstheme="minorHAnsi"/>
          <w:lang w:eastAsia="hr-HR"/>
        </w:rPr>
      </w:pPr>
      <w:r w:rsidRPr="004C1AAD">
        <w:rPr>
          <w:rFonts w:eastAsia="Times New Roman" w:cstheme="minorHAnsi"/>
          <w:noProof/>
          <w:lang w:eastAsia="hr-HR"/>
        </w:rPr>
        <w:drawing>
          <wp:inline distT="0" distB="0" distL="0" distR="0" wp14:anchorId="7E70A387" wp14:editId="423E6DD3">
            <wp:extent cx="480950" cy="573163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950" cy="57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451DE" w14:textId="77777777" w:rsidR="003512DB" w:rsidRPr="004C1AAD" w:rsidRDefault="003512DB" w:rsidP="003512DB">
      <w:pPr>
        <w:spacing w:after="0" w:line="240" w:lineRule="auto"/>
        <w:ind w:left="-57" w:right="6237"/>
        <w:jc w:val="center"/>
        <w:rPr>
          <w:rFonts w:eastAsia="Times New Roman" w:cstheme="minorHAnsi"/>
          <w:b/>
          <w:sz w:val="24"/>
          <w:lang w:eastAsia="hr-HR"/>
        </w:rPr>
      </w:pPr>
      <w:r w:rsidRPr="004C1AAD">
        <w:rPr>
          <w:rFonts w:eastAsia="Times New Roman" w:cstheme="minorHAnsi"/>
          <w:b/>
          <w:sz w:val="24"/>
          <w:lang w:eastAsia="hr-HR"/>
        </w:rPr>
        <w:t>REPUBLIKA HRVATSKA</w:t>
      </w:r>
    </w:p>
    <w:p w14:paraId="21957636" w14:textId="77777777" w:rsidR="003512DB" w:rsidRPr="004C1AAD" w:rsidRDefault="003512DB" w:rsidP="003512DB">
      <w:pPr>
        <w:spacing w:after="0" w:line="240" w:lineRule="auto"/>
        <w:ind w:left="-57" w:right="6237"/>
        <w:jc w:val="center"/>
        <w:rPr>
          <w:rFonts w:eastAsia="Times New Roman" w:cstheme="minorHAnsi"/>
          <w:sz w:val="24"/>
          <w:lang w:eastAsia="hr-HR"/>
        </w:rPr>
      </w:pPr>
      <w:r w:rsidRPr="004C1AAD">
        <w:rPr>
          <w:rFonts w:eastAsia="Times New Roman" w:cstheme="minorHAnsi"/>
          <w:sz w:val="24"/>
          <w:lang w:eastAsia="hr-HR"/>
        </w:rPr>
        <w:t>ŽUPANIJSKA UPRAVA ZA CESTE</w:t>
      </w:r>
    </w:p>
    <w:p w14:paraId="7DE4B0CF" w14:textId="77777777" w:rsidR="003512DB" w:rsidRPr="004C1AAD" w:rsidRDefault="003512DB" w:rsidP="003512DB">
      <w:pPr>
        <w:spacing w:after="0" w:line="240" w:lineRule="auto"/>
        <w:ind w:left="-57" w:right="6237"/>
        <w:jc w:val="center"/>
        <w:rPr>
          <w:rFonts w:eastAsia="Times New Roman" w:cstheme="minorHAnsi"/>
          <w:sz w:val="24"/>
          <w:lang w:eastAsia="hr-HR"/>
        </w:rPr>
      </w:pPr>
      <w:r w:rsidRPr="004C1AAD">
        <w:rPr>
          <w:rFonts w:eastAsia="Times New Roman" w:cstheme="minorHAnsi"/>
          <w:sz w:val="24"/>
          <w:lang w:eastAsia="hr-HR"/>
        </w:rPr>
        <w:t>PRIMORSKO-GORANSKE ŽUPANIJE</w:t>
      </w:r>
    </w:p>
    <w:p w14:paraId="495FE212" w14:textId="77777777" w:rsidR="003512DB" w:rsidRPr="004C1AAD" w:rsidRDefault="003512DB" w:rsidP="003512DB">
      <w:pPr>
        <w:spacing w:after="0" w:line="240" w:lineRule="auto"/>
        <w:ind w:left="-57" w:right="6237"/>
        <w:jc w:val="center"/>
        <w:rPr>
          <w:rFonts w:eastAsia="Times New Roman" w:cstheme="minorHAnsi"/>
          <w:sz w:val="24"/>
          <w:lang w:eastAsia="hr-HR"/>
        </w:rPr>
      </w:pPr>
      <w:r w:rsidRPr="004C1AAD">
        <w:rPr>
          <w:rFonts w:eastAsia="Times New Roman" w:cstheme="minorHAnsi"/>
          <w:sz w:val="24"/>
          <w:lang w:eastAsia="hr-HR"/>
        </w:rPr>
        <w:t>Rijeka, Nikole Tesle 9/X</w:t>
      </w:r>
    </w:p>
    <w:p w14:paraId="5FDF7118" w14:textId="41ABFF12" w:rsidR="003512DB" w:rsidRPr="009C03D2" w:rsidRDefault="00AF6F11" w:rsidP="003512DB">
      <w:pPr>
        <w:spacing w:before="240" w:after="0" w:line="240" w:lineRule="auto"/>
        <w:rPr>
          <w:rFonts w:cstheme="minorHAnsi"/>
        </w:rPr>
      </w:pPr>
      <w:r w:rsidRPr="009C03D2">
        <w:rPr>
          <w:rFonts w:cstheme="minorHAnsi"/>
        </w:rPr>
        <w:t xml:space="preserve">KLASA: </w:t>
      </w:r>
      <w:r w:rsidR="009C03D2" w:rsidRPr="009C03D2">
        <w:rPr>
          <w:rFonts w:cstheme="minorHAnsi"/>
        </w:rPr>
        <w:t>400-02/24-01/5</w:t>
      </w:r>
    </w:p>
    <w:p w14:paraId="1A0283E8" w14:textId="57A218D8" w:rsidR="003512DB" w:rsidRPr="009C03D2" w:rsidRDefault="003512DB" w:rsidP="003512DB">
      <w:pPr>
        <w:spacing w:after="0" w:line="240" w:lineRule="auto"/>
        <w:rPr>
          <w:rFonts w:cstheme="minorHAnsi"/>
        </w:rPr>
      </w:pPr>
      <w:r w:rsidRPr="009C03D2">
        <w:rPr>
          <w:rFonts w:cstheme="minorHAnsi"/>
        </w:rPr>
        <w:t xml:space="preserve">URBROJ: </w:t>
      </w:r>
      <w:r w:rsidR="009C03D2" w:rsidRPr="009C03D2">
        <w:rPr>
          <w:rFonts w:cstheme="minorHAnsi"/>
        </w:rPr>
        <w:t>2170-48-01/02-26-</w:t>
      </w:r>
      <w:r w:rsidR="00D60A37">
        <w:rPr>
          <w:rFonts w:cstheme="minorHAnsi"/>
        </w:rPr>
        <w:t>7</w:t>
      </w:r>
    </w:p>
    <w:p w14:paraId="0C9C44D0" w14:textId="0A65B980" w:rsidR="003512DB" w:rsidRPr="009C03D2" w:rsidRDefault="003512DB" w:rsidP="003512DB">
      <w:pPr>
        <w:spacing w:before="120" w:after="120" w:line="240" w:lineRule="auto"/>
        <w:rPr>
          <w:rFonts w:cstheme="minorHAnsi"/>
        </w:rPr>
      </w:pPr>
      <w:r w:rsidRPr="00C9737C">
        <w:rPr>
          <w:rFonts w:cstheme="minorHAnsi"/>
        </w:rPr>
        <w:t>Rijeka</w:t>
      </w:r>
      <w:r w:rsidR="0034324F" w:rsidRPr="00C9737C">
        <w:rPr>
          <w:rFonts w:cstheme="minorHAnsi"/>
        </w:rPr>
        <w:t xml:space="preserve">, </w:t>
      </w:r>
      <w:r w:rsidR="00E254EA">
        <w:rPr>
          <w:rFonts w:cstheme="minorHAnsi"/>
        </w:rPr>
        <w:t>28</w:t>
      </w:r>
      <w:r w:rsidR="009C03D2" w:rsidRPr="00C9737C">
        <w:rPr>
          <w:rFonts w:cstheme="minorHAnsi"/>
        </w:rPr>
        <w:t>.0</w:t>
      </w:r>
      <w:r w:rsidR="00E254EA">
        <w:rPr>
          <w:rFonts w:cstheme="minorHAnsi"/>
        </w:rPr>
        <w:t>5</w:t>
      </w:r>
      <w:r w:rsidR="009C03D2" w:rsidRPr="00C9737C">
        <w:rPr>
          <w:rFonts w:cstheme="minorHAnsi"/>
        </w:rPr>
        <w:t>.2026. godine</w:t>
      </w:r>
    </w:p>
    <w:p w14:paraId="4145CAE2" w14:textId="77777777" w:rsidR="00474E7C" w:rsidRPr="00C77F42" w:rsidRDefault="00474E7C" w:rsidP="00C77F42">
      <w:pPr>
        <w:spacing w:line="259" w:lineRule="auto"/>
        <w:rPr>
          <w:rFonts w:eastAsia="Calibri" w:cstheme="minorHAnsi"/>
        </w:rPr>
      </w:pPr>
    </w:p>
    <w:p w14:paraId="2D8520D6" w14:textId="77777777" w:rsidR="00474E7C" w:rsidRPr="00C77F42" w:rsidRDefault="00474E7C" w:rsidP="00C77F42">
      <w:pPr>
        <w:spacing w:line="259" w:lineRule="auto"/>
        <w:rPr>
          <w:rFonts w:eastAsia="Calibri" w:cstheme="minorHAnsi"/>
        </w:rPr>
      </w:pPr>
    </w:p>
    <w:p w14:paraId="67497853" w14:textId="77777777" w:rsidR="00474E7C" w:rsidRDefault="00474E7C" w:rsidP="00C77F42">
      <w:pPr>
        <w:spacing w:line="259" w:lineRule="auto"/>
        <w:rPr>
          <w:rFonts w:eastAsia="Calibri" w:cstheme="minorHAnsi"/>
        </w:rPr>
      </w:pPr>
    </w:p>
    <w:p w14:paraId="22CE145E" w14:textId="77777777" w:rsidR="00C77F42" w:rsidRDefault="00C77F42" w:rsidP="00C77F42">
      <w:pPr>
        <w:spacing w:line="259" w:lineRule="auto"/>
        <w:rPr>
          <w:rFonts w:eastAsia="Calibri" w:cstheme="minorHAnsi"/>
        </w:rPr>
      </w:pPr>
    </w:p>
    <w:p w14:paraId="56F03137" w14:textId="77777777" w:rsidR="00C77F42" w:rsidRDefault="00C77F42" w:rsidP="00C77F42">
      <w:pPr>
        <w:spacing w:line="259" w:lineRule="auto"/>
        <w:rPr>
          <w:rFonts w:eastAsia="Calibri" w:cstheme="minorHAnsi"/>
        </w:rPr>
      </w:pPr>
    </w:p>
    <w:p w14:paraId="72151611" w14:textId="6265B853" w:rsidR="00474E7C" w:rsidRPr="00474E7C" w:rsidRDefault="00AF6F11" w:rsidP="00474E7C">
      <w:pPr>
        <w:spacing w:line="259" w:lineRule="auto"/>
        <w:jc w:val="center"/>
        <w:rPr>
          <w:rFonts w:eastAsia="Calibri" w:cstheme="minorHAnsi"/>
          <w:b/>
          <w:sz w:val="40"/>
          <w:szCs w:val="40"/>
        </w:rPr>
      </w:pPr>
      <w:r>
        <w:rPr>
          <w:rFonts w:eastAsia="Calibri" w:cstheme="minorHAnsi"/>
          <w:b/>
          <w:sz w:val="40"/>
          <w:szCs w:val="40"/>
        </w:rPr>
        <w:t>GODIŠNJ</w:t>
      </w:r>
      <w:r w:rsidR="00E254EA">
        <w:rPr>
          <w:rFonts w:eastAsia="Calibri" w:cstheme="minorHAnsi"/>
          <w:b/>
          <w:sz w:val="40"/>
          <w:szCs w:val="40"/>
        </w:rPr>
        <w:t>I</w:t>
      </w:r>
      <w:r w:rsidR="00474E7C" w:rsidRPr="00474E7C">
        <w:rPr>
          <w:rFonts w:eastAsia="Calibri" w:cstheme="minorHAnsi"/>
          <w:b/>
          <w:sz w:val="40"/>
          <w:szCs w:val="40"/>
        </w:rPr>
        <w:t xml:space="preserve"> IZVJEŠTAJ O IZVRŠENJU</w:t>
      </w:r>
    </w:p>
    <w:p w14:paraId="2DFC8DAD" w14:textId="64D54E3A" w:rsidR="00474E7C" w:rsidRPr="00474E7C" w:rsidRDefault="00474E7C" w:rsidP="00474E7C">
      <w:pPr>
        <w:spacing w:line="259" w:lineRule="auto"/>
        <w:jc w:val="center"/>
        <w:rPr>
          <w:rFonts w:eastAsia="Calibri" w:cstheme="minorHAnsi"/>
          <w:b/>
          <w:sz w:val="40"/>
          <w:szCs w:val="40"/>
        </w:rPr>
      </w:pPr>
      <w:r w:rsidRPr="00474E7C">
        <w:rPr>
          <w:rFonts w:eastAsia="Calibri" w:cstheme="minorHAnsi"/>
          <w:b/>
          <w:sz w:val="40"/>
          <w:szCs w:val="40"/>
        </w:rPr>
        <w:t>FINANCIJSKOG PLANA</w:t>
      </w:r>
    </w:p>
    <w:p w14:paraId="4CD3F74B" w14:textId="6626E40E" w:rsidR="00474E7C" w:rsidRPr="00474E7C" w:rsidRDefault="00474E7C" w:rsidP="00474E7C">
      <w:pPr>
        <w:spacing w:line="259" w:lineRule="auto"/>
        <w:jc w:val="center"/>
        <w:rPr>
          <w:rFonts w:eastAsia="Calibri" w:cstheme="minorHAnsi"/>
          <w:b/>
          <w:sz w:val="40"/>
          <w:szCs w:val="40"/>
        </w:rPr>
      </w:pPr>
      <w:r w:rsidRPr="00474E7C">
        <w:rPr>
          <w:rFonts w:eastAsia="Calibri" w:cstheme="minorHAnsi"/>
          <w:b/>
          <w:sz w:val="40"/>
          <w:szCs w:val="40"/>
        </w:rPr>
        <w:t>ŽUPANIJSKE UPRAVE ZA CESTE</w:t>
      </w:r>
    </w:p>
    <w:p w14:paraId="7AC2E317" w14:textId="7D07D6E2" w:rsidR="00474E7C" w:rsidRPr="00474E7C" w:rsidRDefault="00474E7C" w:rsidP="00474E7C">
      <w:pPr>
        <w:spacing w:line="259" w:lineRule="auto"/>
        <w:jc w:val="center"/>
        <w:rPr>
          <w:rFonts w:eastAsia="Calibri" w:cstheme="minorHAnsi"/>
          <w:b/>
          <w:sz w:val="40"/>
          <w:szCs w:val="40"/>
        </w:rPr>
      </w:pPr>
      <w:r w:rsidRPr="00474E7C">
        <w:rPr>
          <w:rFonts w:eastAsia="Calibri" w:cstheme="minorHAnsi"/>
          <w:b/>
          <w:sz w:val="40"/>
          <w:szCs w:val="40"/>
        </w:rPr>
        <w:t>PRIMORSKO-GORANSKE ŽUPANIJE</w:t>
      </w:r>
    </w:p>
    <w:p w14:paraId="7F428123" w14:textId="77777777" w:rsidR="004316A2" w:rsidRDefault="00867A93" w:rsidP="00474E7C">
      <w:pPr>
        <w:spacing w:line="259" w:lineRule="auto"/>
        <w:jc w:val="center"/>
        <w:rPr>
          <w:rFonts w:eastAsia="Calibri" w:cstheme="minorHAnsi"/>
          <w:b/>
          <w:sz w:val="40"/>
          <w:szCs w:val="40"/>
        </w:rPr>
        <w:sectPr w:rsidR="004316A2" w:rsidSect="00D27FBD">
          <w:footerReference w:type="default" r:id="rId9"/>
          <w:type w:val="continuous"/>
          <w:pgSz w:w="11906" w:h="16838" w:code="9"/>
          <w:pgMar w:top="1134" w:right="1134" w:bottom="1134" w:left="1134" w:header="567" w:footer="284" w:gutter="0"/>
          <w:pgNumType w:start="1"/>
          <w:cols w:space="708"/>
          <w:titlePg/>
          <w:docGrid w:linePitch="360"/>
        </w:sectPr>
      </w:pPr>
      <w:r>
        <w:rPr>
          <w:rFonts w:eastAsia="Calibri" w:cstheme="minorHAnsi"/>
          <w:b/>
          <w:sz w:val="40"/>
          <w:szCs w:val="40"/>
        </w:rPr>
        <w:t>ZA 202</w:t>
      </w:r>
      <w:r w:rsidR="00E4022D">
        <w:rPr>
          <w:rFonts w:eastAsia="Calibri" w:cstheme="minorHAnsi"/>
          <w:b/>
          <w:sz w:val="40"/>
          <w:szCs w:val="40"/>
        </w:rPr>
        <w:t>5</w:t>
      </w:r>
      <w:r w:rsidR="00474E7C" w:rsidRPr="00474E7C">
        <w:rPr>
          <w:rFonts w:eastAsia="Calibri" w:cstheme="minorHAnsi"/>
          <w:b/>
          <w:sz w:val="40"/>
          <w:szCs w:val="40"/>
        </w:rPr>
        <w:t>. GODINU</w:t>
      </w:r>
    </w:p>
    <w:sdt>
      <w:sdtPr>
        <w:rPr>
          <w:rFonts w:eastAsiaTheme="minorHAnsi" w:cstheme="minorBidi"/>
          <w:b w:val="0"/>
          <w:sz w:val="22"/>
          <w:szCs w:val="22"/>
          <w:lang w:eastAsia="en-US"/>
        </w:rPr>
        <w:id w:val="22233599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DDB64BD" w14:textId="5AC49190" w:rsidR="000B3A72" w:rsidRDefault="000B3A72" w:rsidP="00EC6EAF">
          <w:pPr>
            <w:pStyle w:val="TOCNaslov"/>
            <w:numPr>
              <w:ilvl w:val="0"/>
              <w:numId w:val="0"/>
            </w:numPr>
          </w:pPr>
          <w:r w:rsidRPr="00F715E9">
            <w:t>SADRŽAJ</w:t>
          </w:r>
        </w:p>
        <w:p w14:paraId="77F22B81" w14:textId="77777777" w:rsidR="00C44AED" w:rsidRDefault="00C84EB4">
          <w:pPr>
            <w:pStyle w:val="Sadraj1"/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224047536" w:history="1">
            <w:r w:rsidR="00C44AED" w:rsidRPr="00EC07B4">
              <w:rPr>
                <w:rStyle w:val="Hiperveza"/>
                <w:noProof/>
              </w:rPr>
              <w:t>1. OPĆI DIO GODIŠNJEG IZVJEŠTAJA O IZVRŠENJU FINANCIJSKOG PLANA</w:t>
            </w:r>
            <w:r w:rsidR="00C44AED">
              <w:rPr>
                <w:noProof/>
                <w:webHidden/>
              </w:rPr>
              <w:tab/>
            </w:r>
            <w:r w:rsidR="00C44AED">
              <w:rPr>
                <w:noProof/>
                <w:webHidden/>
              </w:rPr>
              <w:fldChar w:fldCharType="begin"/>
            </w:r>
            <w:r w:rsidR="00C44AED">
              <w:rPr>
                <w:noProof/>
                <w:webHidden/>
              </w:rPr>
              <w:instrText xml:space="preserve"> PAGEREF _Toc224047536 \h </w:instrText>
            </w:r>
            <w:r w:rsidR="00C44AED">
              <w:rPr>
                <w:noProof/>
                <w:webHidden/>
              </w:rPr>
            </w:r>
            <w:r w:rsidR="00C44AED">
              <w:rPr>
                <w:noProof/>
                <w:webHidden/>
              </w:rPr>
              <w:fldChar w:fldCharType="separate"/>
            </w:r>
            <w:r w:rsidR="00C44AED">
              <w:rPr>
                <w:noProof/>
                <w:webHidden/>
              </w:rPr>
              <w:t>4</w:t>
            </w:r>
            <w:r w:rsidR="00C44AED">
              <w:rPr>
                <w:noProof/>
                <w:webHidden/>
              </w:rPr>
              <w:fldChar w:fldCharType="end"/>
            </w:r>
          </w:hyperlink>
        </w:p>
        <w:p w14:paraId="207BE96E" w14:textId="77777777" w:rsidR="00C44AED" w:rsidRDefault="00C44AED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4047537" w:history="1">
            <w:r w:rsidRPr="00EC07B4">
              <w:rPr>
                <w:rStyle w:val="Hiperveza"/>
                <w:noProof/>
              </w:rPr>
              <w:t>1.1. SAŽETAK RAČUNA PRIHODA I RASHODA I RAČUNA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6D449" w14:textId="77777777" w:rsidR="00C44AED" w:rsidRDefault="00C44AED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4047538" w:history="1">
            <w:r w:rsidRPr="00EC07B4">
              <w:rPr>
                <w:rStyle w:val="Hiperveza"/>
                <w:noProof/>
              </w:rPr>
              <w:t>1.2. RAČUN PRIHODA I RASHODA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ADE9F" w14:textId="77777777" w:rsidR="00C44AED" w:rsidRDefault="00C44AE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224047539" w:history="1">
            <w:r w:rsidRPr="00EC07B4">
              <w:rPr>
                <w:rStyle w:val="Hiperveza"/>
                <w:noProof/>
              </w:rPr>
              <w:t>1.2.1. IZVJEŠTAJ O PRIHODIMA I RASHODIMA PREMA EKONOMSKOJ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B3507" w14:textId="77777777" w:rsidR="00C44AED" w:rsidRDefault="00C44AED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4047540" w:history="1">
            <w:r w:rsidRPr="00EC07B4">
              <w:rPr>
                <w:rStyle w:val="Hiperveza"/>
                <w:noProof/>
              </w:rPr>
              <w:t>1.3. RAČUN FINANCIRANJA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E4161" w14:textId="77777777" w:rsidR="00C44AED" w:rsidRDefault="00C44AE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224047541" w:history="1">
            <w:r w:rsidRPr="00EC07B4">
              <w:rPr>
                <w:rStyle w:val="Hiperveza"/>
                <w:noProof/>
              </w:rPr>
              <w:t>1.3.1. IZVJEŠTAJ RAČUNA FINANCIRANJA PREMA EKONOMSKOJ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F1F67" w14:textId="77777777" w:rsidR="00C44AED" w:rsidRDefault="00C44AED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224047542" w:history="1">
            <w:r w:rsidRPr="00EC07B4">
              <w:rPr>
                <w:rStyle w:val="Hiperveza"/>
                <w:noProof/>
              </w:rPr>
              <w:t>2. POSEBNI DIO GODIŠNJEG IZVJEŠTAJA O IZVRŠENJU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F45AF4" w14:textId="77777777" w:rsidR="00C44AED" w:rsidRDefault="00C44AED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4047543" w:history="1">
            <w:r w:rsidRPr="00EC07B4">
              <w:rPr>
                <w:rStyle w:val="Hiperveza"/>
                <w:noProof/>
              </w:rPr>
              <w:t>2.1. IZVJEŠTAJ O IZVRŠENJU FINANCIJSKOG PLANA PO PROGRAMSKOJ KLASIFIKACIJI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5226BE" w14:textId="77777777" w:rsidR="00C44AED" w:rsidRDefault="00C44AED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224047544" w:history="1">
            <w:r w:rsidRPr="00EC07B4">
              <w:rPr>
                <w:rStyle w:val="Hiperveza"/>
                <w:noProof/>
              </w:rPr>
              <w:t>3. OBRAZLOŽENJE GODIŠNJEG IZVJEŠTAJA O IZVRŠENJU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53AA4" w14:textId="77777777" w:rsidR="00C44AED" w:rsidRDefault="00C44AED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4047545" w:history="1">
            <w:r w:rsidRPr="00EC07B4">
              <w:rPr>
                <w:rStyle w:val="Hiperveza"/>
                <w:noProof/>
              </w:rPr>
              <w:t>3.1. OBRAZLOŽENJE OPĆEG DIJELA IZVJEŠTAJA O IZVRŠENJU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76378" w14:textId="77777777" w:rsidR="00C44AED" w:rsidRDefault="00C44AE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224047546" w:history="1">
            <w:r w:rsidRPr="00EC07B4">
              <w:rPr>
                <w:rStyle w:val="Hiperveza"/>
                <w:noProof/>
              </w:rPr>
              <w:t>3.1.1. PRIHODI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FCDC8" w14:textId="77777777" w:rsidR="00C44AED" w:rsidRDefault="00C44AED">
          <w:pPr>
            <w:pStyle w:val="Sadraj4"/>
            <w:rPr>
              <w:rFonts w:eastAsiaTheme="minorEastAsia"/>
              <w:noProof/>
              <w:lang w:eastAsia="hr-HR"/>
            </w:rPr>
          </w:pPr>
          <w:hyperlink w:anchor="_Toc224047547" w:history="1">
            <w:r w:rsidRPr="00EC07B4">
              <w:rPr>
                <w:rStyle w:val="Hiperveza"/>
                <w:noProof/>
              </w:rPr>
              <w:t>3.1.1.1. PRIHODI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64DAC" w14:textId="77777777" w:rsidR="00C44AED" w:rsidRDefault="00C44AED">
          <w:pPr>
            <w:pStyle w:val="Sadraj4"/>
            <w:rPr>
              <w:rFonts w:eastAsiaTheme="minorEastAsia"/>
              <w:noProof/>
              <w:lang w:eastAsia="hr-HR"/>
            </w:rPr>
          </w:pPr>
          <w:hyperlink w:anchor="_Toc224047548" w:history="1">
            <w:r w:rsidRPr="00EC07B4">
              <w:rPr>
                <w:rStyle w:val="Hiperveza"/>
                <w:noProof/>
              </w:rPr>
              <w:t>3.1.1.2. PRIHODI OD PRODAJE NEFINANCIJSKE IMOVINE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E750F" w14:textId="77777777" w:rsidR="00C44AED" w:rsidRDefault="00C44AE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224047549" w:history="1">
            <w:r w:rsidRPr="00EC07B4">
              <w:rPr>
                <w:rStyle w:val="Hiperveza"/>
                <w:noProof/>
              </w:rPr>
              <w:t>3.1.2. RASHODI I IZDACI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FD956B" w14:textId="77777777" w:rsidR="00C44AED" w:rsidRDefault="00C44AED">
          <w:pPr>
            <w:pStyle w:val="Sadraj4"/>
            <w:rPr>
              <w:rFonts w:eastAsiaTheme="minorEastAsia"/>
              <w:noProof/>
              <w:lang w:eastAsia="hr-HR"/>
            </w:rPr>
          </w:pPr>
          <w:hyperlink w:anchor="_Toc224047550" w:history="1">
            <w:r w:rsidRPr="00EC07B4">
              <w:rPr>
                <w:rStyle w:val="Hiperveza"/>
                <w:noProof/>
              </w:rPr>
              <w:t>3.1.2.1. RASHODI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A02F7" w14:textId="77777777" w:rsidR="00C44AED" w:rsidRDefault="00C44AED">
          <w:pPr>
            <w:pStyle w:val="Sadraj4"/>
            <w:rPr>
              <w:rFonts w:eastAsiaTheme="minorEastAsia"/>
              <w:noProof/>
              <w:lang w:eastAsia="hr-HR"/>
            </w:rPr>
          </w:pPr>
          <w:hyperlink w:anchor="_Toc224047551" w:history="1">
            <w:r w:rsidRPr="00EC07B4">
              <w:rPr>
                <w:rStyle w:val="Hiperveza"/>
                <w:noProof/>
              </w:rPr>
              <w:t>3.1.2.2. RASHODI ZA NABAVU NEFINANCIJSKE IMOVINE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307015" w14:textId="77777777" w:rsidR="00C44AED" w:rsidRDefault="00C44AED">
          <w:pPr>
            <w:pStyle w:val="Sadraj4"/>
            <w:rPr>
              <w:rFonts w:eastAsiaTheme="minorEastAsia"/>
              <w:noProof/>
              <w:lang w:eastAsia="hr-HR"/>
            </w:rPr>
          </w:pPr>
          <w:hyperlink w:anchor="_Toc224047552" w:history="1">
            <w:r w:rsidRPr="00EC07B4">
              <w:rPr>
                <w:rStyle w:val="Hiperveza"/>
                <w:noProof/>
              </w:rPr>
              <w:t>3.1.2.3. IZDACI ZA FINANCIJSKU IMOVINU I OTPLATE ZAJMOVA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48B1DE" w14:textId="77777777" w:rsidR="00C44AED" w:rsidRDefault="00C44AED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4047553" w:history="1">
            <w:r w:rsidRPr="00EC07B4">
              <w:rPr>
                <w:rStyle w:val="Hiperveza"/>
                <w:noProof/>
              </w:rPr>
              <w:t>3.2. OBRAZLOŽENJE POSEBNOG DIJELA IZVJEŠTAJA O IZVRŠENJU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C5C20" w14:textId="77777777" w:rsidR="00C44AED" w:rsidRDefault="00C44AE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224047554" w:history="1">
            <w:r w:rsidRPr="00EC07B4">
              <w:rPr>
                <w:rStyle w:val="Hiperveza"/>
                <w:noProof/>
              </w:rPr>
              <w:t>3.2.1. PROGRAM 1000: RASHODI UPRAVE I POSLOVANJA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C72699" w14:textId="77777777" w:rsidR="00C44AED" w:rsidRDefault="00C44AE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224047555" w:history="1">
            <w:r w:rsidRPr="00EC07B4">
              <w:rPr>
                <w:rStyle w:val="Hiperveza"/>
                <w:rFonts w:cs="Tahoma"/>
                <w:noProof/>
              </w:rPr>
              <w:t>3.2.2.</w:t>
            </w:r>
            <w:r w:rsidRPr="00EC07B4">
              <w:rPr>
                <w:rStyle w:val="Hiperveza"/>
                <w:noProof/>
              </w:rPr>
              <w:t xml:space="preserve"> PROGRAM 1001: IZDACI I RASHODI PO OSNOVI ZADUŽENJA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06F70" w14:textId="77777777" w:rsidR="00C44AED" w:rsidRDefault="00C44AE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224047556" w:history="1">
            <w:r w:rsidRPr="00EC07B4">
              <w:rPr>
                <w:rStyle w:val="Hiperveza"/>
                <w:noProof/>
              </w:rPr>
              <w:t>3.2.3. PROGRAM 1002: REDOVITO ODRŽAVANJE CESTA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5FC379" w14:textId="77777777" w:rsidR="00C44AED" w:rsidRDefault="00C44AE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224047557" w:history="1">
            <w:r w:rsidRPr="00EC07B4">
              <w:rPr>
                <w:rStyle w:val="Hiperveza"/>
                <w:noProof/>
              </w:rPr>
              <w:t>3.2.4. PROGRAM 1003: IZVANREDNO ODRŽAVANJE CESTA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AE41A" w14:textId="77777777" w:rsidR="00C44AED" w:rsidRDefault="00C44AED">
          <w:pPr>
            <w:pStyle w:val="Sadraj3"/>
            <w:rPr>
              <w:rFonts w:eastAsiaTheme="minorEastAsia"/>
              <w:noProof/>
              <w:lang w:eastAsia="hr-HR"/>
            </w:rPr>
          </w:pPr>
          <w:hyperlink w:anchor="_Toc224047558" w:history="1">
            <w:r w:rsidRPr="00EC07B4">
              <w:rPr>
                <w:rStyle w:val="Hiperveza"/>
                <w:noProof/>
              </w:rPr>
              <w:t>3.2.5. PROGRAM 1004: GRADNJA CESTA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6DAFE9" w14:textId="77777777" w:rsidR="00C44AED" w:rsidRDefault="00C44AED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224047559" w:history="1">
            <w:r w:rsidRPr="00EC07B4">
              <w:rPr>
                <w:rStyle w:val="Hiperveza"/>
                <w:noProof/>
              </w:rPr>
              <w:t>4. POSEBNI IZVJEŠTAJI U GODIŠNJEM IZVJEŠTAJU O IZVRŠENJU FINANCIJSKOG PLANA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237DD" w14:textId="77777777" w:rsidR="00C44AED" w:rsidRDefault="00C44AED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4047560" w:history="1">
            <w:r w:rsidRPr="00EC07B4">
              <w:rPr>
                <w:rStyle w:val="Hiperveza"/>
                <w:noProof/>
              </w:rPr>
              <w:t>4.1. IZVJEŠTAJ O STANJU POTRAŽIVANJA I DOSPJELIH OBVEZA TE O STANJU POTENCIJALNIH OBVEZA PO OSNOVI SUDSKIH SPOROVA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5F84B" w14:textId="77777777" w:rsidR="00C44AED" w:rsidRDefault="00C44AED">
          <w:pPr>
            <w:pStyle w:val="Sadraj2"/>
            <w:rPr>
              <w:rFonts w:eastAsiaTheme="minorEastAsia"/>
              <w:noProof/>
              <w:lang w:eastAsia="hr-HR"/>
            </w:rPr>
          </w:pPr>
          <w:hyperlink w:anchor="_Toc224047561" w:history="1">
            <w:r w:rsidRPr="00EC07B4">
              <w:rPr>
                <w:rStyle w:val="Hiperveza"/>
                <w:noProof/>
              </w:rPr>
              <w:t>4.2. IZVJEŠTAJ O DANIM JAMSTVIMA I POTRAŽIVANJIMA PO JAMSTVIMA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B33B5F" w14:textId="77777777" w:rsidR="00C44AED" w:rsidRDefault="00C44AED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224047562" w:history="1">
            <w:r w:rsidRPr="00EC07B4">
              <w:rPr>
                <w:rStyle w:val="Hiperveza"/>
                <w:noProof/>
              </w:rPr>
              <w:t>5. POPIS TABLICA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F99B74" w14:textId="77777777" w:rsidR="00C44AED" w:rsidRDefault="00C44AED">
          <w:pPr>
            <w:pStyle w:val="Sadraj1"/>
            <w:rPr>
              <w:rFonts w:eastAsiaTheme="minorEastAsia"/>
              <w:noProof/>
              <w:lang w:eastAsia="hr-HR"/>
            </w:rPr>
          </w:pPr>
          <w:hyperlink w:anchor="_Toc224047563" w:history="1">
            <w:r w:rsidRPr="00EC07B4">
              <w:rPr>
                <w:rStyle w:val="Hiperveza"/>
                <w:noProof/>
              </w:rPr>
              <w:t>6. POPIS GRAFIKONA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_Toc224047563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624AB1" w14:textId="5357D6F9" w:rsidR="000B3A72" w:rsidRDefault="00C84EB4" w:rsidP="000B3A72">
          <w:r>
            <w:fldChar w:fldCharType="end"/>
          </w:r>
        </w:p>
      </w:sdtContent>
    </w:sdt>
    <w:p w14:paraId="5768680C" w14:textId="77777777" w:rsidR="00EB5B57" w:rsidRDefault="00EB5B57">
      <w:pPr>
        <w:spacing w:line="259" w:lineRule="auto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br w:type="page"/>
      </w:r>
    </w:p>
    <w:p w14:paraId="7E941198" w14:textId="4036F6D5" w:rsidR="000B3A72" w:rsidRPr="00D60A37" w:rsidRDefault="000D11E2" w:rsidP="000B3A72">
      <w:p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>
        <w:rPr>
          <w:rFonts w:eastAsia="Times New Roman" w:cstheme="minorHAnsi"/>
          <w:bCs/>
          <w:lang w:eastAsia="hr-HR"/>
        </w:rPr>
        <w:lastRenderedPageBreak/>
        <w:t>Na temelju odredbi članka 87</w:t>
      </w:r>
      <w:r w:rsidR="000B3A72" w:rsidRPr="00CD5B87">
        <w:rPr>
          <w:rFonts w:eastAsia="Times New Roman" w:cstheme="minorHAnsi"/>
          <w:bCs/>
          <w:lang w:eastAsia="hr-HR"/>
        </w:rPr>
        <w:t xml:space="preserve">. Zakona </w:t>
      </w:r>
      <w:r w:rsidR="000E522A">
        <w:rPr>
          <w:rFonts w:eastAsia="Times New Roman" w:cstheme="minorHAnsi"/>
          <w:bCs/>
          <w:lang w:eastAsia="hr-HR"/>
        </w:rPr>
        <w:t>o proračunu („</w:t>
      </w:r>
      <w:r w:rsidR="000B3A72" w:rsidRPr="00CD5B87">
        <w:rPr>
          <w:rFonts w:eastAsia="Times New Roman" w:cstheme="minorHAnsi"/>
          <w:bCs/>
          <w:lang w:eastAsia="hr-HR"/>
        </w:rPr>
        <w:t>Narodn</w:t>
      </w:r>
      <w:r w:rsidR="00C03D88">
        <w:rPr>
          <w:rFonts w:eastAsia="Times New Roman" w:cstheme="minorHAnsi"/>
          <w:bCs/>
          <w:lang w:eastAsia="hr-HR"/>
        </w:rPr>
        <w:t>e novine“</w:t>
      </w:r>
      <w:r w:rsidR="00F67C84">
        <w:rPr>
          <w:rFonts w:eastAsia="Times New Roman" w:cstheme="minorHAnsi"/>
          <w:bCs/>
          <w:lang w:eastAsia="hr-HR"/>
        </w:rPr>
        <w:t xml:space="preserve">, broj </w:t>
      </w:r>
      <w:r w:rsidR="00EE2862">
        <w:rPr>
          <w:rFonts w:eastAsia="Times New Roman" w:cstheme="minorHAnsi"/>
          <w:bCs/>
          <w:lang w:eastAsia="hr-HR"/>
        </w:rPr>
        <w:t>144/21</w:t>
      </w:r>
      <w:r w:rsidR="000B3A72" w:rsidRPr="00CD5B87">
        <w:rPr>
          <w:rFonts w:eastAsia="Times New Roman" w:cstheme="minorHAnsi"/>
          <w:bCs/>
          <w:lang w:eastAsia="hr-HR"/>
        </w:rPr>
        <w:t xml:space="preserve">), </w:t>
      </w:r>
      <w:r w:rsidR="000B3A72" w:rsidRPr="00AB4D6C">
        <w:rPr>
          <w:rFonts w:eastAsia="Times New Roman" w:cstheme="minorHAnsi"/>
          <w:bCs/>
          <w:lang w:eastAsia="hr-HR"/>
        </w:rPr>
        <w:t xml:space="preserve">članka </w:t>
      </w:r>
      <w:r w:rsidR="00AB4D6C" w:rsidRPr="00AB4D6C">
        <w:rPr>
          <w:rFonts w:eastAsia="Times New Roman" w:cstheme="minorHAnsi"/>
          <w:bCs/>
          <w:lang w:eastAsia="hr-HR"/>
        </w:rPr>
        <w:t>53</w:t>
      </w:r>
      <w:r w:rsidR="000B3A72" w:rsidRPr="00AB4D6C">
        <w:rPr>
          <w:rFonts w:eastAsia="Times New Roman" w:cstheme="minorHAnsi"/>
          <w:bCs/>
          <w:lang w:eastAsia="hr-HR"/>
        </w:rPr>
        <w:t>. stavka 2. Pravilnika o polugodišnjem i godišnjem izv</w:t>
      </w:r>
      <w:r w:rsidR="000E522A" w:rsidRPr="00AB4D6C">
        <w:rPr>
          <w:rFonts w:eastAsia="Times New Roman" w:cstheme="minorHAnsi"/>
          <w:bCs/>
          <w:lang w:eastAsia="hr-HR"/>
        </w:rPr>
        <w:t>ještaju o izvršenju proračuna („</w:t>
      </w:r>
      <w:r w:rsidR="00C03D88">
        <w:rPr>
          <w:rFonts w:eastAsia="Times New Roman" w:cstheme="minorHAnsi"/>
          <w:bCs/>
          <w:lang w:eastAsia="hr-HR"/>
        </w:rPr>
        <w:t>Narodne novine“</w:t>
      </w:r>
      <w:r w:rsidR="000B3A72" w:rsidRPr="00AB4D6C">
        <w:rPr>
          <w:rFonts w:eastAsia="Times New Roman" w:cstheme="minorHAnsi"/>
          <w:bCs/>
          <w:lang w:eastAsia="hr-HR"/>
        </w:rPr>
        <w:t>, broj 24/13, 102/17, 01/20</w:t>
      </w:r>
      <w:r w:rsidR="00855933" w:rsidRPr="00AB4D6C">
        <w:rPr>
          <w:rFonts w:eastAsia="Times New Roman" w:cstheme="minorHAnsi"/>
          <w:bCs/>
          <w:lang w:eastAsia="hr-HR"/>
        </w:rPr>
        <w:t>, 147/20</w:t>
      </w:r>
      <w:r w:rsidR="00AB4D6C" w:rsidRPr="00AB4D6C">
        <w:rPr>
          <w:rFonts w:eastAsia="Times New Roman" w:cstheme="minorHAnsi"/>
          <w:bCs/>
          <w:lang w:eastAsia="hr-HR"/>
        </w:rPr>
        <w:t>, 85/23</w:t>
      </w:r>
      <w:r w:rsidR="00EE2862" w:rsidRPr="00AB4D6C">
        <w:rPr>
          <w:rFonts w:eastAsia="Times New Roman" w:cstheme="minorHAnsi"/>
          <w:bCs/>
          <w:lang w:eastAsia="hr-HR"/>
        </w:rPr>
        <w:t>)</w:t>
      </w:r>
      <w:r w:rsidR="007A69F8" w:rsidRPr="00AB4D6C">
        <w:rPr>
          <w:rFonts w:eastAsia="Times New Roman" w:cstheme="minorHAnsi"/>
          <w:bCs/>
          <w:lang w:eastAsia="hr-HR"/>
        </w:rPr>
        <w:t xml:space="preserve">, </w:t>
      </w:r>
      <w:r w:rsidR="00EE2862">
        <w:rPr>
          <w:rFonts w:eastAsia="Times New Roman" w:cstheme="minorHAnsi"/>
          <w:bCs/>
          <w:lang w:eastAsia="hr-HR"/>
        </w:rPr>
        <w:t>te</w:t>
      </w:r>
      <w:r w:rsidR="00EE2862">
        <w:rPr>
          <w:rFonts w:cstheme="minorHAnsi"/>
          <w:bCs/>
        </w:rPr>
        <w:t xml:space="preserve"> </w:t>
      </w:r>
      <w:r w:rsidR="00EE2862" w:rsidRPr="0051206B">
        <w:rPr>
          <w:rFonts w:cstheme="minorHAnsi"/>
          <w:bCs/>
        </w:rPr>
        <w:t>članka 19. stavka 1. Statut</w:t>
      </w:r>
      <w:r w:rsidR="00EE2862">
        <w:rPr>
          <w:rFonts w:cstheme="minorHAnsi"/>
          <w:bCs/>
        </w:rPr>
        <w:t>a</w:t>
      </w:r>
      <w:r w:rsidR="00EE2862" w:rsidRPr="0051206B">
        <w:rPr>
          <w:rFonts w:cstheme="minorHAnsi"/>
          <w:bCs/>
        </w:rPr>
        <w:t xml:space="preserve"> Županijske uprave za ceste Primorsko-goranske županije </w:t>
      </w:r>
      <w:r w:rsidR="00F67C84" w:rsidRPr="0051206B">
        <w:rPr>
          <w:rFonts w:cstheme="minorHAnsi"/>
          <w:bCs/>
        </w:rPr>
        <w:t>(</w:t>
      </w:r>
      <w:r w:rsidR="00F67C84">
        <w:t xml:space="preserve">KLASA: 023-01/06-01/1, URBROJ: 2170-04-11-6-1 od 23.02.2006. godine; KLASA: 023-01/06-01/1, URBROJ: 2170-04-11-10-01 od 23.02.2010. godine; KLASA: 023-01/06-01, URBROJ: 2170-04-11-15-1 od 08.04.2015. godine – pročišćeni tekst i KLASA: 025-01/22-02/20, URBROJ: 2170-48-04-11-22-6 od 20.12.2022. godine), </w:t>
      </w:r>
      <w:r w:rsidR="000B3A72" w:rsidRPr="00CD5B87">
        <w:rPr>
          <w:rFonts w:eastAsia="Times New Roman" w:cstheme="minorHAnsi"/>
          <w:bCs/>
          <w:lang w:eastAsia="hr-HR"/>
        </w:rPr>
        <w:t xml:space="preserve">Upravno vijeće Županijske uprave za ceste Primorsko-goranske županije utvrdilo je na </w:t>
      </w:r>
      <w:r w:rsidR="00D60A37" w:rsidRPr="00D60A37">
        <w:rPr>
          <w:rFonts w:eastAsia="Times New Roman" w:cstheme="minorHAnsi"/>
          <w:bCs/>
          <w:lang w:eastAsia="hr-HR"/>
        </w:rPr>
        <w:t>10</w:t>
      </w:r>
      <w:r w:rsidR="00FD1991" w:rsidRPr="00D60A37">
        <w:rPr>
          <w:rFonts w:eastAsia="Times New Roman" w:cstheme="minorHAnsi"/>
          <w:bCs/>
          <w:lang w:eastAsia="hr-HR"/>
        </w:rPr>
        <w:t xml:space="preserve">. sjednici Upravnog vijeća dana </w:t>
      </w:r>
      <w:r w:rsidR="00D60A37" w:rsidRPr="00D60A37">
        <w:rPr>
          <w:rFonts w:eastAsia="Times New Roman" w:cstheme="minorHAnsi"/>
          <w:bCs/>
          <w:lang w:eastAsia="hr-HR"/>
        </w:rPr>
        <w:t>26</w:t>
      </w:r>
      <w:r w:rsidR="00C9737C" w:rsidRPr="00D60A37">
        <w:rPr>
          <w:rFonts w:eastAsia="Times New Roman" w:cstheme="minorHAnsi"/>
          <w:bCs/>
          <w:lang w:eastAsia="hr-HR"/>
        </w:rPr>
        <w:t>.0</w:t>
      </w:r>
      <w:r w:rsidR="00D60A37" w:rsidRPr="00D60A37">
        <w:rPr>
          <w:rFonts w:eastAsia="Times New Roman" w:cstheme="minorHAnsi"/>
          <w:bCs/>
          <w:lang w:eastAsia="hr-HR"/>
        </w:rPr>
        <w:t>6</w:t>
      </w:r>
      <w:r w:rsidR="00E4022D" w:rsidRPr="00D60A37">
        <w:rPr>
          <w:rFonts w:eastAsia="Times New Roman" w:cstheme="minorHAnsi"/>
          <w:bCs/>
          <w:lang w:eastAsia="hr-HR"/>
        </w:rPr>
        <w:t>.202</w:t>
      </w:r>
      <w:r w:rsidR="009C03D2" w:rsidRPr="00D60A37">
        <w:rPr>
          <w:rFonts w:eastAsia="Times New Roman" w:cstheme="minorHAnsi"/>
          <w:bCs/>
          <w:lang w:eastAsia="hr-HR"/>
        </w:rPr>
        <w:t>6</w:t>
      </w:r>
      <w:r w:rsidR="00E4022D" w:rsidRPr="00D60A37">
        <w:rPr>
          <w:rFonts w:eastAsia="Times New Roman" w:cstheme="minorHAnsi"/>
          <w:bCs/>
          <w:lang w:eastAsia="hr-HR"/>
        </w:rPr>
        <w:t>.</w:t>
      </w:r>
      <w:r w:rsidR="00FD1991" w:rsidRPr="00D60A37">
        <w:rPr>
          <w:rFonts w:eastAsia="Times New Roman" w:cstheme="minorHAnsi"/>
          <w:bCs/>
          <w:lang w:eastAsia="hr-HR"/>
        </w:rPr>
        <w:t xml:space="preserve"> </w:t>
      </w:r>
      <w:r w:rsidR="000B3A72" w:rsidRPr="00D60A37">
        <w:rPr>
          <w:rFonts w:eastAsia="Times New Roman" w:cstheme="minorHAnsi"/>
          <w:bCs/>
          <w:lang w:eastAsia="hr-HR"/>
        </w:rPr>
        <w:t>godine sljedeći:</w:t>
      </w:r>
    </w:p>
    <w:p w14:paraId="78DDEB36" w14:textId="1FFE1A5E" w:rsidR="00E43B53" w:rsidRDefault="00F5175A" w:rsidP="00E43B53">
      <w:pPr>
        <w:pStyle w:val="Naslov"/>
      </w:pPr>
      <w:bookmarkStart w:id="0" w:name="_Toc14862478"/>
      <w:r w:rsidRPr="00DD1998">
        <w:t>GODIŠNJ</w:t>
      </w:r>
      <w:r w:rsidR="00E254EA">
        <w:t>I</w:t>
      </w:r>
      <w:r w:rsidR="000B3A72" w:rsidRPr="00DD1998">
        <w:t xml:space="preserve"> IZVJE</w:t>
      </w:r>
      <w:r w:rsidR="00181E34" w:rsidRPr="00DD1998">
        <w:t xml:space="preserve">ŠTAJ O IZVRŠENJU FINANCIJSKOG </w:t>
      </w:r>
      <w:r w:rsidR="000B3A72" w:rsidRPr="00DD1998">
        <w:t>PLANA ŽUPANIJSKE</w:t>
      </w:r>
      <w:r w:rsidR="00181E34" w:rsidRPr="00DD1998">
        <w:t xml:space="preserve"> UPRAVE ZA CESTE PRIMORSKO-</w:t>
      </w:r>
      <w:r w:rsidR="000B3A72" w:rsidRPr="00DD1998">
        <w:t>GORANSKE ŽUPANIJ</w:t>
      </w:r>
      <w:r w:rsidR="00417575" w:rsidRPr="00DD1998">
        <w:t>E</w:t>
      </w:r>
      <w:r w:rsidR="00181E34" w:rsidRPr="00DD1998">
        <w:t xml:space="preserve"> </w:t>
      </w:r>
      <w:r w:rsidR="000B3A72" w:rsidRPr="00DD1998">
        <w:t xml:space="preserve">ZA </w:t>
      </w:r>
      <w:r w:rsidR="003E6AB6" w:rsidRPr="00DD1998">
        <w:t>2</w:t>
      </w:r>
      <w:r w:rsidR="000B3A72" w:rsidRPr="00DD1998">
        <w:t>02</w:t>
      </w:r>
      <w:r w:rsidR="00E4022D">
        <w:t>5</w:t>
      </w:r>
      <w:r w:rsidR="000B3A72" w:rsidRPr="00DD1998">
        <w:t>.</w:t>
      </w:r>
      <w:bookmarkEnd w:id="0"/>
      <w:r w:rsidR="000B3A72" w:rsidRPr="00DD1998">
        <w:t xml:space="preserve"> GODIN</w:t>
      </w:r>
      <w:r w:rsidR="002B6355" w:rsidRPr="00DD1998">
        <w:t>U</w:t>
      </w:r>
      <w:bookmarkStart w:id="1" w:name="_Toc14862482"/>
      <w:r w:rsidR="00E43B53" w:rsidRPr="00E43B53">
        <w:t xml:space="preserve"> </w:t>
      </w:r>
    </w:p>
    <w:bookmarkEnd w:id="1"/>
    <w:p w14:paraId="748D64BA" w14:textId="014589F9" w:rsidR="00E43B53" w:rsidRPr="00CD5B87" w:rsidRDefault="00E43B53" w:rsidP="00E43B5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Odredba</w:t>
      </w:r>
      <w:r>
        <w:rPr>
          <w:rFonts w:cstheme="minorHAnsi"/>
        </w:rPr>
        <w:t>ma članka 87. Zakona</w:t>
      </w:r>
      <w:r w:rsidRPr="00CD5B87">
        <w:rPr>
          <w:rFonts w:cstheme="minorHAnsi"/>
        </w:rPr>
        <w:t xml:space="preserve"> o proraču</w:t>
      </w:r>
      <w:r>
        <w:rPr>
          <w:rFonts w:cstheme="minorHAnsi"/>
        </w:rPr>
        <w:t>nu („</w:t>
      </w:r>
      <w:r w:rsidRPr="00CD5B87">
        <w:rPr>
          <w:rFonts w:cstheme="minorHAnsi"/>
        </w:rPr>
        <w:t>Narodne</w:t>
      </w:r>
      <w:r>
        <w:rPr>
          <w:rFonts w:cstheme="minorHAnsi"/>
        </w:rPr>
        <w:t xml:space="preserve"> novine“, broj 144/21</w:t>
      </w:r>
      <w:r w:rsidRPr="00CD5B87">
        <w:rPr>
          <w:rFonts w:cstheme="minorHAnsi"/>
        </w:rPr>
        <w:t xml:space="preserve"> – u daljnjem tekstu Zakon) i članka </w:t>
      </w:r>
      <w:r>
        <w:rPr>
          <w:rFonts w:cstheme="minorHAnsi"/>
        </w:rPr>
        <w:t>53</w:t>
      </w:r>
      <w:r w:rsidRPr="00CD5B87">
        <w:rPr>
          <w:rFonts w:cstheme="minorHAnsi"/>
        </w:rPr>
        <w:t>. Pravilnika o polugodišnjem i godišnjem izvj</w:t>
      </w:r>
      <w:r>
        <w:rPr>
          <w:rFonts w:cstheme="minorHAnsi"/>
        </w:rPr>
        <w:t>eštaju o izvršenju proračuna („Narodne novine“</w:t>
      </w:r>
      <w:r w:rsidRPr="00CD5B87">
        <w:rPr>
          <w:rFonts w:cstheme="minorHAnsi"/>
        </w:rPr>
        <w:t>, br</w:t>
      </w:r>
      <w:r w:rsidR="00D96583">
        <w:rPr>
          <w:rFonts w:cstheme="minorHAnsi"/>
        </w:rPr>
        <w:t xml:space="preserve">oj </w:t>
      </w:r>
      <w:r w:rsidR="00B65F5B" w:rsidRPr="00AB4D6C">
        <w:rPr>
          <w:rFonts w:eastAsia="Times New Roman" w:cstheme="minorHAnsi"/>
          <w:bCs/>
          <w:lang w:eastAsia="hr-HR"/>
        </w:rPr>
        <w:t xml:space="preserve">24/13, 102/17, 01/20, 147/20, </w:t>
      </w:r>
      <w:r>
        <w:rPr>
          <w:rFonts w:cstheme="minorHAnsi"/>
        </w:rPr>
        <w:t xml:space="preserve">85/23 </w:t>
      </w:r>
      <w:r w:rsidRPr="00CD5B87">
        <w:rPr>
          <w:rFonts w:cstheme="minorHAnsi"/>
        </w:rPr>
        <w:t>– u daljnjem tekstu Pravilnik</w:t>
      </w:r>
      <w:r w:rsidR="004715D5">
        <w:rPr>
          <w:rFonts w:cstheme="minorHAnsi"/>
        </w:rPr>
        <w:t>)</w:t>
      </w:r>
      <w:r>
        <w:rPr>
          <w:rFonts w:cstheme="minorHAnsi"/>
        </w:rPr>
        <w:t>,</w:t>
      </w:r>
      <w:r w:rsidRPr="00CD5B87">
        <w:rPr>
          <w:rFonts w:cstheme="minorHAnsi"/>
        </w:rPr>
        <w:t xml:space="preserve"> te</w:t>
      </w:r>
      <w:r w:rsidRPr="001C51C4">
        <w:rPr>
          <w:rFonts w:cstheme="minorHAnsi"/>
          <w:bCs/>
        </w:rPr>
        <w:t xml:space="preserve"> </w:t>
      </w:r>
      <w:r w:rsidRPr="0051206B">
        <w:rPr>
          <w:rFonts w:cstheme="minorHAnsi"/>
          <w:bCs/>
        </w:rPr>
        <w:t>članka 19. stavka 1. Statut</w:t>
      </w:r>
      <w:r>
        <w:rPr>
          <w:rFonts w:cstheme="minorHAnsi"/>
          <w:bCs/>
        </w:rPr>
        <w:t>a</w:t>
      </w:r>
      <w:r w:rsidRPr="0051206B">
        <w:rPr>
          <w:rFonts w:cstheme="minorHAnsi"/>
          <w:bCs/>
        </w:rPr>
        <w:t xml:space="preserve"> Županijske uprave za ceste Primorsko-goranske županije (</w:t>
      </w:r>
      <w:r>
        <w:t>KLASA: 023-01/06-01/1, URBROJ: 2170-04-11-6-1 od 23.02.2006. godine; KLASA: 023-01/06-01/1, URBROJ: 2170-04-11-10-01 od 23.02.2010. godine; KLASA: 023-01/06-01, URBROJ: 2170-04-11-15-1 od 08.04.2015. godine – pročišćeni tekst i KLASA: 025-01/22-02/20, URBROJ: 2170-48-04-11-22-6 od 20.12.2022. godine</w:t>
      </w:r>
      <w:r w:rsidR="004715D5">
        <w:t>)</w:t>
      </w:r>
      <w:r>
        <w:t xml:space="preserve">, </w:t>
      </w:r>
      <w:r w:rsidRPr="00CD5B87">
        <w:rPr>
          <w:rFonts w:cstheme="minorHAnsi"/>
        </w:rPr>
        <w:t xml:space="preserve">utvrđena je obveza Županijske uprave za ceste Primorsko-goranske županije da dostavi </w:t>
      </w:r>
      <w:r>
        <w:rPr>
          <w:rFonts w:cstheme="minorHAnsi"/>
        </w:rPr>
        <w:t>prijedlog godišnjeg</w:t>
      </w:r>
      <w:r w:rsidRPr="00CD5B87">
        <w:rPr>
          <w:rFonts w:cstheme="minorHAnsi"/>
        </w:rPr>
        <w:t xml:space="preserve"> izvještaj</w:t>
      </w:r>
      <w:r>
        <w:rPr>
          <w:rFonts w:cstheme="minorHAnsi"/>
        </w:rPr>
        <w:t>a</w:t>
      </w:r>
      <w:r w:rsidRPr="00CD5B87">
        <w:rPr>
          <w:rFonts w:cstheme="minorHAnsi"/>
        </w:rPr>
        <w:t xml:space="preserve"> o izvršenju financijskog plana</w:t>
      </w:r>
      <w:r>
        <w:rPr>
          <w:rFonts w:cstheme="minorHAnsi"/>
        </w:rPr>
        <w:t xml:space="preserve"> za razdoblje od 01.siječnja do 31. prosinca proračunske godine</w:t>
      </w:r>
      <w:r w:rsidRPr="00CD5B87">
        <w:rPr>
          <w:rFonts w:cstheme="minorHAnsi"/>
        </w:rPr>
        <w:t xml:space="preserve"> (prethodno utvrđen od Upravnog vijeća Županijske upra</w:t>
      </w:r>
      <w:r>
        <w:rPr>
          <w:rFonts w:cstheme="minorHAnsi"/>
        </w:rPr>
        <w:t>ve za ceste Primorsko-g</w:t>
      </w:r>
      <w:r w:rsidRPr="00CD5B87">
        <w:rPr>
          <w:rFonts w:cstheme="minorHAnsi"/>
        </w:rPr>
        <w:t xml:space="preserve">oranske županije) nadležnom upravnom odjelu Primorsko-goranske </w:t>
      </w:r>
      <w:r w:rsidRPr="00CF2AF2">
        <w:rPr>
          <w:rFonts w:cstheme="minorHAnsi"/>
        </w:rPr>
        <w:t>županije do 31. ožujka tekuće proračunske godine. Prijedlog godišnjeg izvještaja se uz prethodnu suglasnost Župana podnosi Županijskoj skupštini na razmatranje i donošenje zajedno s izvještajem o izvršenju Proračuna Županije.</w:t>
      </w:r>
    </w:p>
    <w:p w14:paraId="6F5E3711" w14:textId="77777777" w:rsidR="00E43B53" w:rsidRPr="00CD5B87" w:rsidRDefault="00E43B53" w:rsidP="00E43B5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Obveza i sadržaj izrade godišnjeg izvještaja o izvršenju financijskog plana izvanproračunskih korisnika jedinica lokalne i područne (regionalne) samouprave utvrđena je Zakonom i Pravilnikom.</w:t>
      </w:r>
    </w:p>
    <w:p w14:paraId="0C737EFD" w14:textId="77777777" w:rsidR="00E43B53" w:rsidRPr="00CD5B87" w:rsidRDefault="00E43B53" w:rsidP="00E43B5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G</w:t>
      </w:r>
      <w:r w:rsidRPr="00CD5B87">
        <w:rPr>
          <w:rFonts w:cstheme="minorHAnsi"/>
        </w:rPr>
        <w:t>odišnji izvještaj o izvršenju financijskog plana Županijske uprave za ceste Primorsko-goranske županije sadrži:</w:t>
      </w:r>
    </w:p>
    <w:p w14:paraId="45DB7478" w14:textId="77777777" w:rsidR="00E43B53" w:rsidRDefault="00E43B53" w:rsidP="00E43B53">
      <w:pPr>
        <w:pStyle w:val="Odlomakpopisa"/>
        <w:numPr>
          <w:ilvl w:val="0"/>
          <w:numId w:val="2"/>
        </w:numPr>
        <w:spacing w:after="120" w:line="240" w:lineRule="auto"/>
        <w:ind w:left="714" w:hanging="714"/>
        <w:jc w:val="both"/>
        <w:rPr>
          <w:rFonts w:cstheme="minorHAnsi"/>
        </w:rPr>
      </w:pPr>
      <w:r w:rsidRPr="00922E8C">
        <w:rPr>
          <w:rFonts w:cstheme="minorHAnsi"/>
        </w:rPr>
        <w:t xml:space="preserve">Opći dio </w:t>
      </w:r>
      <w:r>
        <w:rPr>
          <w:rFonts w:cstheme="minorHAnsi"/>
        </w:rPr>
        <w:t xml:space="preserve">godišnjeg izvještaja o izvršenju financijskog plana izvanproračunskog korisnika </w:t>
      </w:r>
      <w:r w:rsidRPr="00922E8C">
        <w:rPr>
          <w:rFonts w:cstheme="minorHAnsi"/>
        </w:rPr>
        <w:t>kojeg čine:</w:t>
      </w:r>
    </w:p>
    <w:p w14:paraId="0F100127" w14:textId="5511EEBE" w:rsidR="00E43B53" w:rsidRPr="00CD5B87" w:rsidRDefault="00E43B53" w:rsidP="00D627D3">
      <w:pPr>
        <w:numPr>
          <w:ilvl w:val="0"/>
          <w:numId w:val="1"/>
        </w:numPr>
        <w:spacing w:after="0" w:line="240" w:lineRule="auto"/>
        <w:ind w:left="369" w:hanging="142"/>
        <w:contextualSpacing/>
        <w:jc w:val="both"/>
        <w:rPr>
          <w:rFonts w:eastAsia="Calibri" w:cstheme="minorHAnsi"/>
          <w:color w:val="000000"/>
        </w:rPr>
      </w:pPr>
      <w:r w:rsidRPr="00CD5B87">
        <w:rPr>
          <w:rFonts w:eastAsia="Calibri" w:cstheme="minorHAnsi"/>
          <w:color w:val="000000"/>
        </w:rPr>
        <w:t>Sažetak Računa prihoda i rashoda</w:t>
      </w:r>
      <w:r w:rsidR="00D627D3">
        <w:rPr>
          <w:rFonts w:eastAsia="Calibri" w:cstheme="minorHAnsi"/>
          <w:color w:val="000000"/>
        </w:rPr>
        <w:t xml:space="preserve"> i </w:t>
      </w:r>
      <w:r w:rsidRPr="00CD5B87">
        <w:rPr>
          <w:rFonts w:eastAsia="Calibri" w:cstheme="minorHAnsi"/>
          <w:color w:val="000000"/>
        </w:rPr>
        <w:t>Računa financiranja</w:t>
      </w:r>
      <w:r w:rsidR="00D627D3">
        <w:rPr>
          <w:rFonts w:eastAsia="Calibri" w:cstheme="minorHAnsi"/>
          <w:color w:val="000000"/>
        </w:rPr>
        <w:t xml:space="preserve"> koji sadrži prikaz ukupno ostvarenih prihoda i primitaka te izvršenih rashoda i izdataka na razini razreda ekonomske klasifikacije te razliku između ukupno ostvarenih prihoda i rashoda te primitaka i izdataka, te također sadrži podatke o </w:t>
      </w:r>
      <w:r w:rsidR="0037087B">
        <w:rPr>
          <w:rFonts w:eastAsia="Calibri" w:cstheme="minorHAnsi"/>
          <w:color w:val="000000"/>
        </w:rPr>
        <w:t>prenesenom višku odnosno manjku iz prethodne godine i višku odnosno manjku za prijenos u sljedeću godinu/razdoblje;</w:t>
      </w:r>
    </w:p>
    <w:p w14:paraId="7408FBAC" w14:textId="35A23266" w:rsidR="00E43B53" w:rsidRPr="00CD5B87" w:rsidRDefault="00E43B53" w:rsidP="00E43B53">
      <w:pPr>
        <w:numPr>
          <w:ilvl w:val="0"/>
          <w:numId w:val="1"/>
        </w:numPr>
        <w:spacing w:after="0" w:line="240" w:lineRule="auto"/>
        <w:ind w:left="397" w:hanging="170"/>
        <w:contextualSpacing/>
        <w:jc w:val="both"/>
        <w:rPr>
          <w:rFonts w:eastAsia="Calibri" w:cstheme="minorHAnsi"/>
          <w:color w:val="000000"/>
        </w:rPr>
      </w:pPr>
      <w:r w:rsidRPr="00CD5B87">
        <w:rPr>
          <w:rFonts w:eastAsia="Calibri" w:cstheme="minorHAnsi"/>
          <w:color w:val="000000"/>
        </w:rPr>
        <w:t xml:space="preserve">Račun prihoda i rashoda u kojem </w:t>
      </w:r>
      <w:r w:rsidR="003D6906">
        <w:rPr>
          <w:rFonts w:eastAsia="Calibri" w:cstheme="minorHAnsi"/>
          <w:color w:val="000000"/>
        </w:rPr>
        <w:t>su prihodi i rashodi iskazani prema</w:t>
      </w:r>
      <w:r w:rsidRPr="00CD5B87">
        <w:rPr>
          <w:rFonts w:eastAsia="Calibri" w:cstheme="minorHAnsi"/>
          <w:color w:val="000000"/>
        </w:rPr>
        <w:t xml:space="preserve"> ekonomskoj klasifik</w:t>
      </w:r>
      <w:r w:rsidR="00AE37AB">
        <w:rPr>
          <w:rFonts w:eastAsia="Calibri" w:cstheme="minorHAnsi"/>
          <w:color w:val="000000"/>
        </w:rPr>
        <w:t>aciji</w:t>
      </w:r>
      <w:r w:rsidR="0037087B">
        <w:rPr>
          <w:rFonts w:eastAsia="Calibri" w:cstheme="minorHAnsi"/>
          <w:color w:val="000000"/>
        </w:rPr>
        <w:t>;</w:t>
      </w:r>
    </w:p>
    <w:p w14:paraId="17ABF2C4" w14:textId="4EB8912A" w:rsidR="00E43B53" w:rsidRPr="00CD5B87" w:rsidRDefault="00E43B53" w:rsidP="003D6906">
      <w:pPr>
        <w:numPr>
          <w:ilvl w:val="0"/>
          <w:numId w:val="1"/>
        </w:numPr>
        <w:spacing w:after="0" w:line="240" w:lineRule="auto"/>
        <w:ind w:left="369" w:hanging="142"/>
        <w:contextualSpacing/>
        <w:jc w:val="both"/>
        <w:rPr>
          <w:rFonts w:eastAsia="Calibri" w:cstheme="minorHAnsi"/>
          <w:color w:val="000000"/>
        </w:rPr>
      </w:pPr>
      <w:r w:rsidRPr="00CD5B87">
        <w:rPr>
          <w:rFonts w:eastAsia="Calibri" w:cstheme="minorHAnsi"/>
          <w:color w:val="000000"/>
        </w:rPr>
        <w:t>Račun f</w:t>
      </w:r>
      <w:r>
        <w:rPr>
          <w:rFonts w:eastAsia="Calibri" w:cstheme="minorHAnsi"/>
          <w:color w:val="000000"/>
        </w:rPr>
        <w:t>inanciranja u kojem su</w:t>
      </w:r>
      <w:r w:rsidR="003D6906">
        <w:rPr>
          <w:rFonts w:eastAsia="Calibri" w:cstheme="minorHAnsi"/>
          <w:color w:val="000000"/>
        </w:rPr>
        <w:t xml:space="preserve"> primici i</w:t>
      </w:r>
      <w:r>
        <w:rPr>
          <w:rFonts w:eastAsia="Calibri" w:cstheme="minorHAnsi"/>
          <w:color w:val="000000"/>
        </w:rPr>
        <w:t xml:space="preserve"> izdaci </w:t>
      </w:r>
      <w:r w:rsidR="003D6906">
        <w:rPr>
          <w:rFonts w:eastAsia="Calibri" w:cstheme="minorHAnsi"/>
          <w:color w:val="000000"/>
        </w:rPr>
        <w:t>iskazani prema</w:t>
      </w:r>
      <w:r w:rsidR="00AE37AB">
        <w:rPr>
          <w:rFonts w:eastAsia="Calibri" w:cstheme="minorHAnsi"/>
          <w:color w:val="000000"/>
        </w:rPr>
        <w:t xml:space="preserve"> ekonomskoj klasifikaciji.</w:t>
      </w:r>
    </w:p>
    <w:p w14:paraId="3A8D17A7" w14:textId="5E42A5E1" w:rsidR="00E43B53" w:rsidRPr="00922E8C" w:rsidRDefault="00E43B53" w:rsidP="00E43B53">
      <w:pPr>
        <w:pStyle w:val="Odlomakpopisa"/>
        <w:numPr>
          <w:ilvl w:val="0"/>
          <w:numId w:val="2"/>
        </w:numPr>
        <w:spacing w:before="120" w:after="120" w:line="240" w:lineRule="auto"/>
        <w:ind w:left="221" w:hanging="227"/>
        <w:contextualSpacing w:val="0"/>
        <w:jc w:val="both"/>
        <w:rPr>
          <w:rFonts w:cstheme="minorHAnsi"/>
        </w:rPr>
      </w:pPr>
      <w:r w:rsidRPr="00922E8C">
        <w:rPr>
          <w:rFonts w:cstheme="minorHAnsi"/>
        </w:rPr>
        <w:t xml:space="preserve">Posebni dio </w:t>
      </w:r>
      <w:r w:rsidR="00AE37AB">
        <w:rPr>
          <w:rFonts w:cstheme="minorHAnsi"/>
        </w:rPr>
        <w:t xml:space="preserve">godišnjeg izvještaja o izvršenju financijskog plana </w:t>
      </w:r>
      <w:r w:rsidRPr="00922E8C">
        <w:rPr>
          <w:rFonts w:cstheme="minorHAnsi"/>
        </w:rPr>
        <w:t xml:space="preserve">koji sadrži izvršenje rashoda </w:t>
      </w:r>
      <w:r>
        <w:rPr>
          <w:rFonts w:cstheme="minorHAnsi"/>
        </w:rPr>
        <w:t>i izdataka po</w:t>
      </w:r>
      <w:r w:rsidRPr="00922E8C">
        <w:rPr>
          <w:rFonts w:cstheme="minorHAnsi"/>
        </w:rPr>
        <w:t xml:space="preserve"> </w:t>
      </w:r>
      <w:r>
        <w:rPr>
          <w:rFonts w:cstheme="minorHAnsi"/>
        </w:rPr>
        <w:t xml:space="preserve">izvorima </w:t>
      </w:r>
      <w:r w:rsidRPr="00B25B62">
        <w:rPr>
          <w:rFonts w:cstheme="minorHAnsi"/>
        </w:rPr>
        <w:t>financiranja</w:t>
      </w:r>
      <w:r>
        <w:rPr>
          <w:rFonts w:cstheme="minorHAnsi"/>
        </w:rPr>
        <w:t xml:space="preserve"> i ekonomskoj klasifikaciji raspoređenih u programe koji se sastoje od aktivnosti.</w:t>
      </w:r>
    </w:p>
    <w:p w14:paraId="51D14253" w14:textId="1F91BD4B" w:rsidR="00E43B53" w:rsidRPr="001D29D3" w:rsidRDefault="00E43B53" w:rsidP="00E43B53">
      <w:pPr>
        <w:pStyle w:val="Odlomakpopisa"/>
        <w:numPr>
          <w:ilvl w:val="0"/>
          <w:numId w:val="2"/>
        </w:numPr>
        <w:spacing w:before="120" w:after="120" w:line="240" w:lineRule="auto"/>
        <w:ind w:left="221" w:hanging="227"/>
        <w:contextualSpacing w:val="0"/>
        <w:jc w:val="both"/>
        <w:rPr>
          <w:rFonts w:cstheme="minorHAnsi"/>
        </w:rPr>
      </w:pPr>
      <w:r w:rsidRPr="001D29D3">
        <w:rPr>
          <w:rFonts w:cstheme="minorHAnsi"/>
        </w:rPr>
        <w:t>Obrazloženje općeg i posebnog dijela izvještaja o izvršenju financijskog plana</w:t>
      </w:r>
      <w:r w:rsidR="00D96583">
        <w:rPr>
          <w:rFonts w:cstheme="minorHAnsi"/>
        </w:rPr>
        <w:t xml:space="preserve"> sadrži obrazloženje ostvarenja</w:t>
      </w:r>
      <w:r w:rsidRPr="001D29D3">
        <w:rPr>
          <w:rFonts w:cstheme="minorHAnsi"/>
        </w:rPr>
        <w:t xml:space="preserve"> prihoda i rashoda, primitaka i izdataka </w:t>
      </w:r>
      <w:r w:rsidR="0037087B">
        <w:rPr>
          <w:rFonts w:cstheme="minorHAnsi"/>
        </w:rPr>
        <w:t xml:space="preserve">u izvještajnom razdoblju </w:t>
      </w:r>
      <w:r w:rsidRPr="001D29D3">
        <w:rPr>
          <w:rFonts w:cstheme="minorHAnsi"/>
        </w:rPr>
        <w:t xml:space="preserve">te obrazloženje prenesenog </w:t>
      </w:r>
      <w:r w:rsidR="00AE37AB" w:rsidRPr="001D29D3">
        <w:rPr>
          <w:rFonts w:cstheme="minorHAnsi"/>
        </w:rPr>
        <w:t xml:space="preserve">manjka </w:t>
      </w:r>
      <w:r w:rsidRPr="001D29D3">
        <w:rPr>
          <w:rFonts w:cstheme="minorHAnsi"/>
        </w:rPr>
        <w:t xml:space="preserve">odnosno </w:t>
      </w:r>
      <w:r w:rsidR="00AE37AB" w:rsidRPr="001D29D3">
        <w:rPr>
          <w:rFonts w:cstheme="minorHAnsi"/>
        </w:rPr>
        <w:t xml:space="preserve">viška </w:t>
      </w:r>
      <w:r w:rsidR="00AE37AB">
        <w:rPr>
          <w:rFonts w:cstheme="minorHAnsi"/>
        </w:rPr>
        <w:t>iz prethodne godine i viška odnosno manjka za prijenos u sljedeću godinu/razdoblje.</w:t>
      </w:r>
    </w:p>
    <w:p w14:paraId="63EA5021" w14:textId="313C916D" w:rsidR="008224FB" w:rsidRDefault="008224FB" w:rsidP="008224FB">
      <w:pPr>
        <w:pStyle w:val="Odlomakpopisa"/>
        <w:numPr>
          <w:ilvl w:val="0"/>
          <w:numId w:val="2"/>
        </w:numPr>
        <w:spacing w:before="120" w:after="120" w:line="240" w:lineRule="auto"/>
        <w:ind w:left="227" w:hanging="227"/>
        <w:contextualSpacing w:val="0"/>
        <w:jc w:val="both"/>
        <w:rPr>
          <w:rFonts w:cstheme="minorHAnsi"/>
        </w:rPr>
      </w:pPr>
      <w:r>
        <w:rPr>
          <w:rFonts w:cstheme="minorHAnsi"/>
        </w:rPr>
        <w:t>Posebni izvještaji u godišnjem izvještaju o izv</w:t>
      </w:r>
      <w:r w:rsidR="0037087B">
        <w:rPr>
          <w:rFonts w:cstheme="minorHAnsi"/>
        </w:rPr>
        <w:t>ršenju financijskog plana sadrže</w:t>
      </w:r>
      <w:r>
        <w:rPr>
          <w:rFonts w:cstheme="minorHAnsi"/>
        </w:rPr>
        <w:t xml:space="preserve"> </w:t>
      </w:r>
      <w:r w:rsidRPr="001D29D3">
        <w:rPr>
          <w:rFonts w:cstheme="minorHAnsi"/>
        </w:rPr>
        <w:t xml:space="preserve">podatke o stanju potraživanja, </w:t>
      </w:r>
      <w:r>
        <w:rPr>
          <w:rFonts w:cstheme="minorHAnsi"/>
        </w:rPr>
        <w:t>dospjelih</w:t>
      </w:r>
      <w:r w:rsidRPr="001D29D3">
        <w:rPr>
          <w:rFonts w:cstheme="minorHAnsi"/>
        </w:rPr>
        <w:t xml:space="preserve"> </w:t>
      </w:r>
      <w:r w:rsidR="0037087B">
        <w:rPr>
          <w:rFonts w:cstheme="minorHAnsi"/>
        </w:rPr>
        <w:t>obveza te o</w:t>
      </w:r>
      <w:r>
        <w:rPr>
          <w:rFonts w:cstheme="minorHAnsi"/>
        </w:rPr>
        <w:t xml:space="preserve"> stanju potencijalnih </w:t>
      </w:r>
      <w:r w:rsidRPr="001D29D3">
        <w:rPr>
          <w:rFonts w:cstheme="minorHAnsi"/>
        </w:rPr>
        <w:t>ob</w:t>
      </w:r>
      <w:r>
        <w:rPr>
          <w:rFonts w:cstheme="minorHAnsi"/>
        </w:rPr>
        <w:t>veza po osnovi sudskih sporova</w:t>
      </w:r>
      <w:r w:rsidR="00045909">
        <w:rPr>
          <w:rFonts w:cstheme="minorHAnsi"/>
        </w:rPr>
        <w:t xml:space="preserve"> i podatke o danim jamstvima i potraživanjima po jamstvima.</w:t>
      </w:r>
    </w:p>
    <w:p w14:paraId="13C49CB8" w14:textId="24904475" w:rsidR="00E43B53" w:rsidRPr="008224FB" w:rsidRDefault="008224FB" w:rsidP="008224FB">
      <w:pPr>
        <w:spacing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F10E3FF" w14:textId="6DF273FC" w:rsidR="00E43B53" w:rsidRDefault="00E43B53" w:rsidP="00E43B5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lastRenderedPageBreak/>
        <w:t xml:space="preserve">Financiranje rashoda i izdataka </w:t>
      </w:r>
      <w:r>
        <w:rPr>
          <w:rFonts w:cstheme="minorHAnsi"/>
        </w:rPr>
        <w:t xml:space="preserve">tijekom </w:t>
      </w:r>
      <w:r>
        <w:t>202</w:t>
      </w:r>
      <w:r w:rsidR="00605124">
        <w:t>5</w:t>
      </w:r>
      <w:r>
        <w:t>.</w:t>
      </w:r>
      <w:r w:rsidRPr="00CD5B87">
        <w:t xml:space="preserve"> godine</w:t>
      </w:r>
      <w:r w:rsidRPr="00CD5B87">
        <w:rPr>
          <w:rFonts w:cstheme="minorHAnsi"/>
        </w:rPr>
        <w:t xml:space="preserve"> </w:t>
      </w:r>
      <w:r>
        <w:rPr>
          <w:rFonts w:cstheme="minorHAnsi"/>
        </w:rPr>
        <w:t>planirano</w:t>
      </w:r>
      <w:r w:rsidRPr="00CD5B87">
        <w:rPr>
          <w:rFonts w:cstheme="minorHAnsi"/>
        </w:rPr>
        <w:t xml:space="preserve"> je</w:t>
      </w:r>
      <w:r>
        <w:rPr>
          <w:rFonts w:cstheme="minorHAnsi"/>
        </w:rPr>
        <w:t>:</w:t>
      </w:r>
    </w:p>
    <w:p w14:paraId="36077798" w14:textId="7718F6CA" w:rsidR="00E43B53" w:rsidRPr="00A9346D" w:rsidRDefault="00E43B53" w:rsidP="00944B9D">
      <w:pPr>
        <w:pStyle w:val="Odlomakpopisa"/>
        <w:numPr>
          <w:ilvl w:val="0"/>
          <w:numId w:val="3"/>
        </w:numPr>
        <w:spacing w:before="120" w:after="120" w:line="240" w:lineRule="auto"/>
        <w:ind w:left="113" w:hanging="113"/>
        <w:contextualSpacing w:val="0"/>
        <w:jc w:val="both"/>
        <w:rPr>
          <w:rFonts w:cstheme="minorHAnsi"/>
        </w:rPr>
      </w:pPr>
      <w:r w:rsidRPr="002C47DD">
        <w:rPr>
          <w:rFonts w:cstheme="minorHAnsi"/>
        </w:rPr>
        <w:t xml:space="preserve">Financijskim planom Županijske uprave za ceste Primorsko-goranske županije za koji je Županijska skupština Primorsko-goranske županije na </w:t>
      </w:r>
      <w:r w:rsidR="009D3279">
        <w:rPr>
          <w:rFonts w:cstheme="minorHAnsi"/>
        </w:rPr>
        <w:t>32</w:t>
      </w:r>
      <w:r w:rsidRPr="002C47DD">
        <w:rPr>
          <w:rFonts w:cstheme="minorHAnsi"/>
        </w:rPr>
        <w:t xml:space="preserve">. sjednici održanoj </w:t>
      </w:r>
      <w:r w:rsidR="009D3279">
        <w:rPr>
          <w:rFonts w:cstheme="minorHAnsi"/>
        </w:rPr>
        <w:t>5. prosinca 2024. godine</w:t>
      </w:r>
      <w:r w:rsidRPr="00A9346D">
        <w:rPr>
          <w:rFonts w:cstheme="minorHAnsi"/>
        </w:rPr>
        <w:t xml:space="preserve"> donijela Odluku o davanju prethodne suglasnosti, a usvojen je je</w:t>
      </w:r>
      <w:r w:rsidR="00A9346D">
        <w:rPr>
          <w:rFonts w:cstheme="minorHAnsi"/>
        </w:rPr>
        <w:t xml:space="preserve"> od strane Upravnog vijeća na </w:t>
      </w:r>
      <w:r w:rsidR="009D3279">
        <w:rPr>
          <w:rFonts w:cstheme="minorHAnsi"/>
        </w:rPr>
        <w:t>54</w:t>
      </w:r>
      <w:r w:rsidRPr="00A9346D">
        <w:rPr>
          <w:rFonts w:cstheme="minorHAnsi"/>
        </w:rPr>
        <w:t>. sjed</w:t>
      </w:r>
      <w:r w:rsidR="00A9346D">
        <w:rPr>
          <w:rFonts w:cstheme="minorHAnsi"/>
        </w:rPr>
        <w:t xml:space="preserve">nici održane </w:t>
      </w:r>
      <w:r w:rsidR="009D3279">
        <w:rPr>
          <w:rFonts w:cstheme="minorHAnsi"/>
        </w:rPr>
        <w:t>17</w:t>
      </w:r>
      <w:r w:rsidRPr="00A9346D">
        <w:rPr>
          <w:rFonts w:cstheme="minorHAnsi"/>
        </w:rPr>
        <w:t xml:space="preserve">. </w:t>
      </w:r>
      <w:r w:rsidR="002809D4">
        <w:rPr>
          <w:rFonts w:cstheme="minorHAnsi"/>
        </w:rPr>
        <w:t>prosinca</w:t>
      </w:r>
      <w:r w:rsidRPr="00A9346D">
        <w:rPr>
          <w:rFonts w:cstheme="minorHAnsi"/>
        </w:rPr>
        <w:t xml:space="preserve"> 202</w:t>
      </w:r>
      <w:r w:rsidR="009D3279">
        <w:rPr>
          <w:rFonts w:cstheme="minorHAnsi"/>
        </w:rPr>
        <w:t>4</w:t>
      </w:r>
      <w:r w:rsidRPr="00A9346D">
        <w:rPr>
          <w:rFonts w:cstheme="minorHAnsi"/>
        </w:rPr>
        <w:t>. godine. Visina rashoda i izdataka za 202</w:t>
      </w:r>
      <w:r w:rsidR="009D3279">
        <w:rPr>
          <w:rFonts w:cstheme="minorHAnsi"/>
        </w:rPr>
        <w:t>5</w:t>
      </w:r>
      <w:r w:rsidRPr="00A9346D">
        <w:rPr>
          <w:rFonts w:cstheme="minorHAnsi"/>
        </w:rPr>
        <w:t>. godinu utvrđen</w:t>
      </w:r>
      <w:r w:rsidR="00A9346D">
        <w:rPr>
          <w:rFonts w:cstheme="minorHAnsi"/>
        </w:rPr>
        <w:t>a</w:t>
      </w:r>
      <w:r w:rsidRPr="00A9346D">
        <w:rPr>
          <w:rFonts w:cstheme="minorHAnsi"/>
        </w:rPr>
        <w:t xml:space="preserve"> je u iznosu od </w:t>
      </w:r>
      <w:r w:rsidR="009D3279">
        <w:rPr>
          <w:rFonts w:cstheme="minorHAnsi"/>
        </w:rPr>
        <w:t>16.767.205,61</w:t>
      </w:r>
      <w:r w:rsidR="00DE778C" w:rsidRPr="00A9346D">
        <w:rPr>
          <w:rFonts w:cstheme="minorHAnsi"/>
        </w:rPr>
        <w:t xml:space="preserve"> eur</w:t>
      </w:r>
      <w:r w:rsidR="00BF4AF2">
        <w:rPr>
          <w:rFonts w:cstheme="minorHAnsi"/>
        </w:rPr>
        <w:t>a</w:t>
      </w:r>
      <w:r w:rsidRPr="00A9346D">
        <w:rPr>
          <w:rFonts w:cstheme="minorHAnsi"/>
        </w:rPr>
        <w:t>.</w:t>
      </w:r>
    </w:p>
    <w:p w14:paraId="5783C068" w14:textId="49742A16" w:rsidR="00E43B53" w:rsidRDefault="00E43B53" w:rsidP="00944B9D">
      <w:pPr>
        <w:pStyle w:val="Odlomakpopisa"/>
        <w:numPr>
          <w:ilvl w:val="0"/>
          <w:numId w:val="3"/>
        </w:numPr>
        <w:spacing w:before="120" w:after="120" w:line="240" w:lineRule="auto"/>
        <w:ind w:left="113" w:hanging="113"/>
        <w:contextualSpacing w:val="0"/>
        <w:jc w:val="both"/>
        <w:rPr>
          <w:rFonts w:cstheme="minorHAnsi"/>
        </w:rPr>
      </w:pPr>
      <w:r w:rsidRPr="002C47DD">
        <w:rPr>
          <w:rFonts w:cstheme="minorHAnsi"/>
        </w:rPr>
        <w:t>I. Izmjenama i dopunama financijskog plana za 202</w:t>
      </w:r>
      <w:r w:rsidR="009D3279">
        <w:rPr>
          <w:rFonts w:cstheme="minorHAnsi"/>
        </w:rPr>
        <w:t>5</w:t>
      </w:r>
      <w:r w:rsidRPr="002C47DD">
        <w:rPr>
          <w:rFonts w:cstheme="minorHAnsi"/>
        </w:rPr>
        <w:t>. godinu i projekcija za 202</w:t>
      </w:r>
      <w:r w:rsidR="009D3279">
        <w:rPr>
          <w:rFonts w:cstheme="minorHAnsi"/>
        </w:rPr>
        <w:t>6</w:t>
      </w:r>
      <w:r w:rsidRPr="002C47DD">
        <w:rPr>
          <w:rFonts w:cstheme="minorHAnsi"/>
        </w:rPr>
        <w:t>. i 202</w:t>
      </w:r>
      <w:r w:rsidR="009D3279">
        <w:rPr>
          <w:rFonts w:cstheme="minorHAnsi"/>
        </w:rPr>
        <w:t>7</w:t>
      </w:r>
      <w:r w:rsidRPr="002C47DD">
        <w:rPr>
          <w:rFonts w:cstheme="minorHAnsi"/>
        </w:rPr>
        <w:t>. godinu početni financijski plan</w:t>
      </w:r>
      <w:r w:rsidR="00DE778C">
        <w:rPr>
          <w:rFonts w:cstheme="minorHAnsi"/>
        </w:rPr>
        <w:t xml:space="preserve"> je povećan za </w:t>
      </w:r>
      <w:r w:rsidR="009D3279">
        <w:rPr>
          <w:rFonts w:cstheme="minorHAnsi"/>
        </w:rPr>
        <w:t>3.175.481,51</w:t>
      </w:r>
      <w:r w:rsidR="00DE778C">
        <w:rPr>
          <w:rFonts w:cstheme="minorHAnsi"/>
        </w:rPr>
        <w:t xml:space="preserve"> eur</w:t>
      </w:r>
      <w:r w:rsidR="00BF4AF2">
        <w:rPr>
          <w:rFonts w:cstheme="minorHAnsi"/>
        </w:rPr>
        <w:t>a</w:t>
      </w:r>
      <w:r w:rsidRPr="002C47DD">
        <w:rPr>
          <w:rFonts w:cstheme="minorHAnsi"/>
        </w:rPr>
        <w:t xml:space="preserve"> odnosn</w:t>
      </w:r>
      <w:r w:rsidR="00DE778C">
        <w:rPr>
          <w:rFonts w:cstheme="minorHAnsi"/>
        </w:rPr>
        <w:t xml:space="preserve">o na iznos od </w:t>
      </w:r>
      <w:r w:rsidR="009D3279">
        <w:rPr>
          <w:rFonts w:cstheme="minorHAnsi"/>
        </w:rPr>
        <w:t>19.942.687,12</w:t>
      </w:r>
      <w:r w:rsidR="00DE778C">
        <w:rPr>
          <w:rFonts w:cstheme="minorHAnsi"/>
        </w:rPr>
        <w:t xml:space="preserve"> eur</w:t>
      </w:r>
      <w:r w:rsidR="00BF4AF2">
        <w:rPr>
          <w:rFonts w:cstheme="minorHAnsi"/>
        </w:rPr>
        <w:t>a</w:t>
      </w:r>
      <w:r w:rsidRPr="002C47DD">
        <w:rPr>
          <w:rFonts w:cstheme="minorHAnsi"/>
        </w:rPr>
        <w:t xml:space="preserve">. Navedeno povećanje sadrži neutrošena sredstva iz prethodne godine u iznosu od </w:t>
      </w:r>
      <w:r w:rsidR="009D3279">
        <w:rPr>
          <w:rFonts w:cstheme="minorHAnsi"/>
        </w:rPr>
        <w:t>2.640.712,17</w:t>
      </w:r>
      <w:r w:rsidR="00DE778C">
        <w:rPr>
          <w:rFonts w:cstheme="minorHAnsi"/>
        </w:rPr>
        <w:t xml:space="preserve"> eur</w:t>
      </w:r>
      <w:r w:rsidR="00BF4AF2">
        <w:rPr>
          <w:rFonts w:cstheme="minorHAnsi"/>
        </w:rPr>
        <w:t>a</w:t>
      </w:r>
      <w:r w:rsidRPr="002C47DD">
        <w:rPr>
          <w:rFonts w:cstheme="minorHAnsi"/>
        </w:rPr>
        <w:t>.</w:t>
      </w:r>
    </w:p>
    <w:p w14:paraId="5A3DB815" w14:textId="77777777" w:rsidR="00354B55" w:rsidRDefault="00E43B53" w:rsidP="00944B9D">
      <w:pPr>
        <w:pStyle w:val="Odlomakpopisa"/>
        <w:numPr>
          <w:ilvl w:val="0"/>
          <w:numId w:val="3"/>
        </w:numPr>
        <w:spacing w:before="120" w:after="120" w:line="240" w:lineRule="auto"/>
        <w:ind w:left="113" w:hanging="113"/>
        <w:contextualSpacing w:val="0"/>
        <w:jc w:val="both"/>
        <w:rPr>
          <w:rFonts w:cstheme="minorHAnsi"/>
        </w:rPr>
      </w:pPr>
      <w:r>
        <w:rPr>
          <w:rFonts w:cstheme="minorHAnsi"/>
        </w:rPr>
        <w:t>II</w:t>
      </w:r>
      <w:r w:rsidRPr="002C47DD">
        <w:rPr>
          <w:rFonts w:cstheme="minorHAnsi"/>
        </w:rPr>
        <w:t>. Izmjenama i dopunama financijskog plana za 202</w:t>
      </w:r>
      <w:r w:rsidR="009D3279">
        <w:rPr>
          <w:rFonts w:cstheme="minorHAnsi"/>
        </w:rPr>
        <w:t>5</w:t>
      </w:r>
      <w:r w:rsidRPr="002C47DD">
        <w:rPr>
          <w:rFonts w:cstheme="minorHAnsi"/>
        </w:rPr>
        <w:t>. godinu i projekcija za 202</w:t>
      </w:r>
      <w:r w:rsidR="009D3279">
        <w:rPr>
          <w:rFonts w:cstheme="minorHAnsi"/>
        </w:rPr>
        <w:t>6</w:t>
      </w:r>
      <w:r w:rsidRPr="002C47DD">
        <w:rPr>
          <w:rFonts w:cstheme="minorHAnsi"/>
        </w:rPr>
        <w:t>. i 202</w:t>
      </w:r>
      <w:r w:rsidR="009D3279">
        <w:rPr>
          <w:rFonts w:cstheme="minorHAnsi"/>
        </w:rPr>
        <w:t>7</w:t>
      </w:r>
      <w:r w:rsidRPr="002C47DD">
        <w:rPr>
          <w:rFonts w:cstheme="minorHAnsi"/>
        </w:rPr>
        <w:t xml:space="preserve">. godinu početni financijski plan je povećan za </w:t>
      </w:r>
      <w:r w:rsidR="009D3279">
        <w:rPr>
          <w:rFonts w:cstheme="minorHAnsi"/>
        </w:rPr>
        <w:t>90.174,47</w:t>
      </w:r>
      <w:r w:rsidR="00DE778C">
        <w:rPr>
          <w:rFonts w:cstheme="minorHAnsi"/>
        </w:rPr>
        <w:t xml:space="preserve"> eur</w:t>
      </w:r>
      <w:r w:rsidR="00BF4AF2">
        <w:rPr>
          <w:rFonts w:cstheme="minorHAnsi"/>
        </w:rPr>
        <w:t>a</w:t>
      </w:r>
      <w:r w:rsidRPr="002C47DD">
        <w:rPr>
          <w:rFonts w:cstheme="minorHAnsi"/>
        </w:rPr>
        <w:t xml:space="preserve"> odnosno na iznos od </w:t>
      </w:r>
      <w:r w:rsidR="009D3279">
        <w:rPr>
          <w:rFonts w:cstheme="minorHAnsi"/>
        </w:rPr>
        <w:t>20.032.861,59</w:t>
      </w:r>
      <w:r w:rsidR="00DE778C">
        <w:rPr>
          <w:rFonts w:cstheme="minorHAnsi"/>
        </w:rPr>
        <w:t xml:space="preserve"> eur</w:t>
      </w:r>
      <w:r w:rsidR="00BF4AF2">
        <w:rPr>
          <w:rFonts w:cstheme="minorHAnsi"/>
        </w:rPr>
        <w:t>a</w:t>
      </w:r>
      <w:r w:rsidRPr="002C47DD">
        <w:rPr>
          <w:rFonts w:cstheme="minorHAnsi"/>
        </w:rPr>
        <w:t>. Navedeno povećanje sadrži neutrošena sredstva iz prethodne godi</w:t>
      </w:r>
      <w:r w:rsidR="00DE778C">
        <w:rPr>
          <w:rFonts w:cstheme="minorHAnsi"/>
        </w:rPr>
        <w:t xml:space="preserve">ne u iznosu od </w:t>
      </w:r>
      <w:r w:rsidR="009D3279">
        <w:rPr>
          <w:rFonts w:cstheme="minorHAnsi"/>
        </w:rPr>
        <w:t>2.640.712,07</w:t>
      </w:r>
      <w:r w:rsidR="00DE778C">
        <w:rPr>
          <w:rFonts w:cstheme="minorHAnsi"/>
        </w:rPr>
        <w:t xml:space="preserve"> eur</w:t>
      </w:r>
      <w:r w:rsidR="00BF4AF2">
        <w:rPr>
          <w:rFonts w:cstheme="minorHAnsi"/>
        </w:rPr>
        <w:t>a</w:t>
      </w:r>
      <w:r w:rsidRPr="002C47DD">
        <w:rPr>
          <w:rFonts w:cstheme="minorHAnsi"/>
        </w:rPr>
        <w:t>.</w:t>
      </w:r>
    </w:p>
    <w:p w14:paraId="30CB1D44" w14:textId="6F2127E1" w:rsidR="00354B55" w:rsidRPr="00354B55" w:rsidRDefault="00BA68CD" w:rsidP="00944B9D">
      <w:pPr>
        <w:pStyle w:val="Odlomakpopisa"/>
        <w:numPr>
          <w:ilvl w:val="0"/>
          <w:numId w:val="3"/>
        </w:numPr>
        <w:spacing w:before="120" w:after="120" w:line="240" w:lineRule="auto"/>
        <w:ind w:left="113" w:hanging="113"/>
        <w:contextualSpacing w:val="0"/>
        <w:jc w:val="both"/>
        <w:rPr>
          <w:rFonts w:cstheme="minorHAnsi"/>
        </w:rPr>
      </w:pPr>
      <w:r w:rsidRPr="00354B55">
        <w:rPr>
          <w:rFonts w:cstheme="minorHAnsi"/>
        </w:rPr>
        <w:t>V</w:t>
      </w:r>
      <w:r w:rsidR="00E17C60" w:rsidRPr="00354B55">
        <w:rPr>
          <w:rFonts w:cstheme="minorHAnsi"/>
        </w:rPr>
        <w:t>išak prihoda preneseni (raspoloživa sredstva iz 202</w:t>
      </w:r>
      <w:r w:rsidR="009D3279" w:rsidRPr="00354B55">
        <w:rPr>
          <w:rFonts w:cstheme="minorHAnsi"/>
        </w:rPr>
        <w:t>4</w:t>
      </w:r>
      <w:r w:rsidR="00E17C60" w:rsidRPr="00354B55">
        <w:rPr>
          <w:rFonts w:cstheme="minorHAnsi"/>
        </w:rPr>
        <w:t xml:space="preserve">. godine) planirani </w:t>
      </w:r>
      <w:r w:rsidR="0052033D" w:rsidRPr="00354B55">
        <w:rPr>
          <w:rFonts w:cstheme="minorHAnsi"/>
        </w:rPr>
        <w:t xml:space="preserve">su u iznosu od </w:t>
      </w:r>
      <w:r w:rsidR="009D3279" w:rsidRPr="00354B55">
        <w:rPr>
          <w:rFonts w:cstheme="minorHAnsi"/>
        </w:rPr>
        <w:t>2.640.712,07</w:t>
      </w:r>
      <w:r w:rsidR="0052033D" w:rsidRPr="00354B55">
        <w:rPr>
          <w:rFonts w:cstheme="minorHAnsi"/>
        </w:rPr>
        <w:t xml:space="preserve"> eur</w:t>
      </w:r>
      <w:r w:rsidR="00BB5189" w:rsidRPr="00354B55">
        <w:rPr>
          <w:rFonts w:cstheme="minorHAnsi"/>
        </w:rPr>
        <w:t>a</w:t>
      </w:r>
      <w:r w:rsidR="00E17C60" w:rsidRPr="00354B55">
        <w:rPr>
          <w:rFonts w:cstheme="minorHAnsi"/>
        </w:rPr>
        <w:t xml:space="preserve">, </w:t>
      </w:r>
      <w:r w:rsidR="00D96583">
        <w:rPr>
          <w:rFonts w:cstheme="minorHAnsi"/>
        </w:rPr>
        <w:t xml:space="preserve">a </w:t>
      </w:r>
      <w:r w:rsidR="00E95597" w:rsidRPr="00354B55">
        <w:rPr>
          <w:rFonts w:cstheme="minorHAnsi"/>
        </w:rPr>
        <w:t>navedeni višak sastoji se od prenesenog viška iz 202</w:t>
      </w:r>
      <w:r w:rsidR="00354B55" w:rsidRPr="00354B55">
        <w:rPr>
          <w:rFonts w:cstheme="minorHAnsi"/>
        </w:rPr>
        <w:t>3</w:t>
      </w:r>
      <w:r w:rsidR="00E95597" w:rsidRPr="00354B55">
        <w:rPr>
          <w:rFonts w:cstheme="minorHAnsi"/>
        </w:rPr>
        <w:t xml:space="preserve">. godine u iznosu od </w:t>
      </w:r>
      <w:r w:rsidR="00354B55" w:rsidRPr="00354B55">
        <w:rPr>
          <w:rFonts w:cstheme="minorHAnsi"/>
        </w:rPr>
        <w:t>3.382.264,97</w:t>
      </w:r>
      <w:r w:rsidR="00E95597" w:rsidRPr="00354B55">
        <w:rPr>
          <w:rFonts w:cstheme="minorHAnsi"/>
        </w:rPr>
        <w:t xml:space="preserve"> eura i ostvarenog </w:t>
      </w:r>
      <w:r w:rsidR="00354B55" w:rsidRPr="00354B55">
        <w:rPr>
          <w:rFonts w:cstheme="minorHAnsi"/>
        </w:rPr>
        <w:t>manjka</w:t>
      </w:r>
      <w:r w:rsidR="00E95597" w:rsidRPr="00354B55">
        <w:rPr>
          <w:rFonts w:cstheme="minorHAnsi"/>
        </w:rPr>
        <w:t xml:space="preserve"> u 202</w:t>
      </w:r>
      <w:r w:rsidR="00354B55" w:rsidRPr="00354B55">
        <w:rPr>
          <w:rFonts w:cstheme="minorHAnsi"/>
        </w:rPr>
        <w:t>4</w:t>
      </w:r>
      <w:r w:rsidR="00E95597" w:rsidRPr="00354B55">
        <w:rPr>
          <w:rFonts w:cstheme="minorHAnsi"/>
        </w:rPr>
        <w:t xml:space="preserve">. godini u iznosu </w:t>
      </w:r>
      <w:r w:rsidR="00FB63CD" w:rsidRPr="00354B55">
        <w:rPr>
          <w:rFonts w:cstheme="minorHAnsi"/>
        </w:rPr>
        <w:t xml:space="preserve">od </w:t>
      </w:r>
      <w:r w:rsidR="00354B55" w:rsidRPr="00354B55">
        <w:rPr>
          <w:rFonts w:cstheme="minorHAnsi"/>
        </w:rPr>
        <w:t>741.552,90</w:t>
      </w:r>
      <w:r w:rsidR="00D96583">
        <w:rPr>
          <w:rFonts w:cstheme="minorHAnsi"/>
        </w:rPr>
        <w:t xml:space="preserve"> eura.</w:t>
      </w:r>
    </w:p>
    <w:p w14:paraId="2A0712E1" w14:textId="410570BB" w:rsidR="00E43B53" w:rsidRPr="0070248C" w:rsidRDefault="00354B55" w:rsidP="00944B9D">
      <w:pPr>
        <w:pStyle w:val="Odlomakpopisa"/>
        <w:numPr>
          <w:ilvl w:val="0"/>
          <w:numId w:val="3"/>
        </w:numPr>
        <w:spacing w:before="120" w:after="120"/>
        <w:ind w:left="142" w:hanging="142"/>
        <w:contextualSpacing w:val="0"/>
        <w:jc w:val="both"/>
        <w:rPr>
          <w:rFonts w:ascii="Calibri" w:eastAsiaTheme="majorEastAsia" w:hAnsi="Calibri" w:cstheme="majorBidi"/>
          <w:b/>
          <w:spacing w:val="-10"/>
          <w:kern w:val="28"/>
        </w:rPr>
      </w:pPr>
      <w:r w:rsidRPr="0070248C">
        <w:rPr>
          <w:rFonts w:cstheme="minorHAnsi"/>
        </w:rPr>
        <w:t>Preneseni višak izvršen je u iznosu 2.634.038,17 eura što se odnosi na umanjenje od 6.673,90 eura za povrat sredstava prema Ministarstvu mora</w:t>
      </w:r>
      <w:r w:rsidR="0070248C" w:rsidRPr="0070248C">
        <w:rPr>
          <w:rFonts w:cstheme="minorHAnsi"/>
        </w:rPr>
        <w:t>,</w:t>
      </w:r>
      <w:r w:rsidRPr="0070248C">
        <w:rPr>
          <w:rFonts w:cstheme="minorHAnsi"/>
        </w:rPr>
        <w:t xml:space="preserve"> prometa i infrastrukture</w:t>
      </w:r>
      <w:r w:rsidR="0070248C">
        <w:rPr>
          <w:rFonts w:cstheme="minorHAnsi"/>
        </w:rPr>
        <w:t>.</w:t>
      </w:r>
      <w:r w:rsidR="0070248C" w:rsidRPr="0070248C">
        <w:rPr>
          <w:rFonts w:cstheme="minorHAnsi"/>
        </w:rPr>
        <w:t xml:space="preserve"> </w:t>
      </w:r>
      <w:r w:rsidR="00E43B53" w:rsidRPr="0070248C">
        <w:rPr>
          <w:color w:val="FF0000"/>
        </w:rPr>
        <w:br w:type="page"/>
      </w:r>
    </w:p>
    <w:p w14:paraId="056BA7FE" w14:textId="366AA574" w:rsidR="000B3A72" w:rsidRPr="00876748" w:rsidRDefault="000B3A72" w:rsidP="00EC6EAF">
      <w:pPr>
        <w:pStyle w:val="Naslov1"/>
      </w:pPr>
      <w:bookmarkStart w:id="2" w:name="_Toc14862479"/>
      <w:bookmarkStart w:id="3" w:name="_Toc224047536"/>
      <w:r w:rsidRPr="00EC6EAF">
        <w:lastRenderedPageBreak/>
        <w:t>OPĆI</w:t>
      </w:r>
      <w:r w:rsidRPr="00876748">
        <w:t xml:space="preserve"> </w:t>
      </w:r>
      <w:r w:rsidRPr="00EC6EAF">
        <w:t>DIO</w:t>
      </w:r>
      <w:bookmarkEnd w:id="2"/>
      <w:r w:rsidR="00C87A7A">
        <w:t xml:space="preserve"> GODIŠNJEG IZVJEŠTAJA O IZVRŠENJU FINANCIJSKOG PLANA</w:t>
      </w:r>
      <w:bookmarkEnd w:id="3"/>
    </w:p>
    <w:p w14:paraId="15FFA68E" w14:textId="193F81DB" w:rsidR="00AE0EC2" w:rsidRPr="00876748" w:rsidRDefault="00AE0EC2" w:rsidP="00EC6EAF">
      <w:pPr>
        <w:pStyle w:val="Naslov2"/>
      </w:pPr>
      <w:bookmarkStart w:id="4" w:name="_Toc224047537"/>
      <w:r w:rsidRPr="00876748">
        <w:t xml:space="preserve">SAŽETAK RAČUNA </w:t>
      </w:r>
      <w:r w:rsidRPr="00EC6EAF">
        <w:t>PRIHODA</w:t>
      </w:r>
      <w:r w:rsidRPr="00876748">
        <w:t xml:space="preserve"> I RASHODA I RAČUNA FINANCIRANJA</w:t>
      </w:r>
      <w:bookmarkEnd w:id="4"/>
    </w:p>
    <w:p w14:paraId="36EBD372" w14:textId="2115646F" w:rsidR="006E72C1" w:rsidRDefault="006E72C1" w:rsidP="006E72C1">
      <w:pPr>
        <w:spacing w:after="120" w:line="240" w:lineRule="auto"/>
        <w:jc w:val="both"/>
      </w:pPr>
      <w:r w:rsidRPr="00E010E8">
        <w:t>Financijski plan Županijske uprave za ceste Primorsko-goranske županije za 202</w:t>
      </w:r>
      <w:r w:rsidR="00605124">
        <w:t>5</w:t>
      </w:r>
      <w:r w:rsidRPr="00E010E8">
        <w:t>. godinu ostvaren je kako slijedi: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4451"/>
        <w:gridCol w:w="1271"/>
        <w:gridCol w:w="1271"/>
        <w:gridCol w:w="1271"/>
        <w:gridCol w:w="793"/>
        <w:gridCol w:w="719"/>
      </w:tblGrid>
      <w:tr w:rsidR="0019011D" w:rsidRPr="0019011D" w14:paraId="073274DC" w14:textId="77777777" w:rsidTr="0019011D">
        <w:trPr>
          <w:trHeight w:val="480"/>
          <w:jc w:val="center"/>
        </w:trPr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41E56DD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Brojčana oznaka i naziv računa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AF735F9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2024.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8DE7B8D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</w:t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2025. 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A36D839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2025.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511A9E4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4./2.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1AF8FF5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4./3. </w:t>
            </w:r>
          </w:p>
        </w:tc>
      </w:tr>
      <w:tr w:rsidR="0019011D" w:rsidRPr="0019011D" w14:paraId="67858D80" w14:textId="77777777" w:rsidTr="0019011D">
        <w:trPr>
          <w:trHeight w:val="64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5B9E102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6F9CF56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893E644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CF5983E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4DE5EB0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1E34972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19011D" w:rsidRPr="0019011D" w14:paraId="50A13610" w14:textId="77777777" w:rsidTr="0019011D">
        <w:trPr>
          <w:trHeight w:val="340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9267B5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A. RAČUN PRIHODA I RASHODA</w:t>
            </w:r>
          </w:p>
        </w:tc>
      </w:tr>
      <w:tr w:rsidR="0019011D" w:rsidRPr="0019011D" w14:paraId="5434BC7F" w14:textId="77777777" w:rsidTr="0019011D">
        <w:trPr>
          <w:trHeight w:val="340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DD33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E21D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14.380.396,50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64A8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17.380.038,44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626A5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16.626.091,70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68D2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3B3E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95,66</w:t>
            </w:r>
          </w:p>
        </w:tc>
      </w:tr>
      <w:tr w:rsidR="0019011D" w:rsidRPr="0019011D" w14:paraId="07D7CDF9" w14:textId="77777777" w:rsidTr="0019011D">
        <w:trPr>
          <w:trHeight w:val="340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4176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BFFDF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5.501,00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3C3BC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12.111,08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8E635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29BC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1120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2,97</w:t>
            </w:r>
          </w:p>
        </w:tc>
      </w:tr>
      <w:tr w:rsidR="0019011D" w:rsidRPr="0019011D" w14:paraId="520B9127" w14:textId="77777777" w:rsidTr="0019011D">
        <w:trPr>
          <w:trHeight w:val="340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78A9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UKUPNO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D5DE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14.385.897,50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383D5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17.392.149,52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56896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16.626.451,70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9ECAD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115,57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98CCE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95,60</w:t>
            </w:r>
          </w:p>
        </w:tc>
      </w:tr>
      <w:tr w:rsidR="0019011D" w:rsidRPr="0019011D" w14:paraId="6B640336" w14:textId="77777777" w:rsidTr="0019011D">
        <w:trPr>
          <w:trHeight w:val="340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C689A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90D8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13.743.403,67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9174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15.503.086,29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2C098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13.092.199,96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5C91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95,26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D5E2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84,45</w:t>
            </w:r>
          </w:p>
        </w:tc>
      </w:tr>
      <w:tr w:rsidR="0019011D" w:rsidRPr="0019011D" w14:paraId="7112F843" w14:textId="77777777" w:rsidTr="0019011D">
        <w:trPr>
          <w:trHeight w:val="340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C23BA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932C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984.046,73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201E1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4.129.775,30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F2188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2.924.509,33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61D92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297,19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4899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70,82</w:t>
            </w:r>
          </w:p>
        </w:tc>
      </w:tr>
      <w:tr w:rsidR="0019011D" w:rsidRPr="0019011D" w14:paraId="1A3AB190" w14:textId="77777777" w:rsidTr="0019011D">
        <w:trPr>
          <w:trHeight w:val="340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B04A4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RASHODI UKUPNO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E13C5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14.727.450,40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40B6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19.632.861,59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45F48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16.016.709,29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2CD6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108,75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0C39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81,58</w:t>
            </w:r>
          </w:p>
        </w:tc>
      </w:tr>
      <w:tr w:rsidR="0019011D" w:rsidRPr="0019011D" w14:paraId="1E375E09" w14:textId="77777777" w:rsidTr="0019011D">
        <w:trPr>
          <w:trHeight w:val="340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BAA665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Razlika - višak/manjak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8E5CAB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-341.552,90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85B5C7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-2.240.712,07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9B9331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609.742,41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6AC167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-178,52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8A56F8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-27,21</w:t>
            </w:r>
          </w:p>
        </w:tc>
      </w:tr>
      <w:tr w:rsidR="0019011D" w:rsidRPr="0019011D" w14:paraId="70D4791B" w14:textId="77777777" w:rsidTr="0019011D">
        <w:trPr>
          <w:trHeight w:val="340"/>
          <w:jc w:val="center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F2F00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AE186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8AB94D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3C731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D8554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0E241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9011D" w:rsidRPr="0019011D" w14:paraId="2E8B7753" w14:textId="77777777" w:rsidTr="0019011D">
        <w:trPr>
          <w:trHeight w:val="340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36E211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B. RAČUN FINANCIRANJA</w:t>
            </w:r>
          </w:p>
        </w:tc>
      </w:tr>
      <w:tr w:rsidR="0019011D" w:rsidRPr="0019011D" w14:paraId="490EF88B" w14:textId="77777777" w:rsidTr="0019011D">
        <w:trPr>
          <w:trHeight w:val="340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D7A21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308B2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8428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D729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17A3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59696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9011D" w:rsidRPr="0019011D" w14:paraId="36DEE851" w14:textId="77777777" w:rsidTr="0019011D">
        <w:trPr>
          <w:trHeight w:val="340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61D6AB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Neto - zaduživanje/financiranje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7546B8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-400.000,00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26F090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-400.000,00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E7977B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-400.000,00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AB3B5A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10B43A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9011D" w:rsidRPr="0019011D" w14:paraId="1E1047CA" w14:textId="77777777" w:rsidTr="0019011D">
        <w:trPr>
          <w:trHeight w:val="340"/>
          <w:jc w:val="center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33DB3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2C06F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FD5C4F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B1174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93EF3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09F69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9011D" w:rsidRPr="0019011D" w14:paraId="764088D3" w14:textId="77777777" w:rsidTr="0019011D">
        <w:trPr>
          <w:trHeight w:val="340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9EDAE5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C. UKUPNO OSTVARENI PRIHODI I IZDACI</w:t>
            </w:r>
          </w:p>
        </w:tc>
      </w:tr>
      <w:tr w:rsidR="0019011D" w:rsidRPr="0019011D" w14:paraId="4B6EA57D" w14:textId="77777777" w:rsidTr="0019011D">
        <w:trPr>
          <w:trHeight w:val="340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DF207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B543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14.385.897,50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8016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17.392.149,52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C766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16.626.451,70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7430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30FF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95,60</w:t>
            </w:r>
          </w:p>
        </w:tc>
      </w:tr>
      <w:tr w:rsidR="0019011D" w:rsidRPr="0019011D" w14:paraId="4986E4CC" w14:textId="77777777" w:rsidTr="0019011D">
        <w:trPr>
          <w:trHeight w:val="340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F9A1A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I IZDACI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D4A7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15.127.450,40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D23A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20.032.861,59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EC075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16.416.709,29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039F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108,52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D0AA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81,95</w:t>
            </w:r>
          </w:p>
        </w:tc>
      </w:tr>
      <w:tr w:rsidR="0019011D" w:rsidRPr="0019011D" w14:paraId="00BD9E79" w14:textId="77777777" w:rsidTr="0019011D">
        <w:trPr>
          <w:trHeight w:val="340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04342F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RAZLIKA - VIŠAK/MANJAK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52D341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-741.552,90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7F38D6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-2.640.712,07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B42382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209.742,41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C33428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-28,28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B494CF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-7,94</w:t>
            </w:r>
          </w:p>
        </w:tc>
      </w:tr>
      <w:tr w:rsidR="0019011D" w:rsidRPr="0019011D" w14:paraId="006DADDE" w14:textId="77777777" w:rsidTr="0019011D">
        <w:trPr>
          <w:trHeight w:val="340"/>
          <w:jc w:val="center"/>
        </w:trPr>
        <w:tc>
          <w:tcPr>
            <w:tcW w:w="44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753033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6B665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5029ED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52C9C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D2967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A07E6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9011D" w:rsidRPr="0019011D" w14:paraId="2F594B13" w14:textId="77777777" w:rsidTr="0019011D">
        <w:trPr>
          <w:trHeight w:val="340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B3D0AE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D. RASPOLOŽIVA SREDSTVA IZ PRETHODNIH GODINA</w:t>
            </w:r>
          </w:p>
        </w:tc>
      </w:tr>
      <w:tr w:rsidR="0019011D" w:rsidRPr="0019011D" w14:paraId="721E4692" w14:textId="77777777" w:rsidTr="0019011D">
        <w:trPr>
          <w:trHeight w:val="340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1EF29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VIŠAK/MANJAK PRIHODA preneseni (+/-)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0AC28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3.382.264,97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5BD3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2.640.712,07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955B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2.634.038,17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28686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77,88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F7A93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99,75</w:t>
            </w:r>
          </w:p>
        </w:tc>
      </w:tr>
      <w:tr w:rsidR="0019011D" w:rsidRPr="0019011D" w14:paraId="3B06C9A7" w14:textId="77777777" w:rsidTr="0019011D">
        <w:trPr>
          <w:trHeight w:val="340"/>
          <w:jc w:val="center"/>
        </w:trPr>
        <w:tc>
          <w:tcPr>
            <w:tcW w:w="4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641D5" w14:textId="77777777" w:rsidR="0019011D" w:rsidRPr="0019011D" w:rsidRDefault="0019011D" w:rsidP="001901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VIŠAK/MANJAK PRIHODA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4658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-741.552,90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F8021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2383" w14:textId="77777777" w:rsidR="0019011D" w:rsidRPr="0019011D" w:rsidRDefault="0019011D" w:rsidP="001901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209.742,41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65B44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-28,28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1126" w14:textId="77777777" w:rsidR="0019011D" w:rsidRPr="0019011D" w:rsidRDefault="0019011D" w:rsidP="00190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6777C8AB" w14:textId="101B8313" w:rsidR="000B3A72" w:rsidRPr="000F1741" w:rsidRDefault="0037137B" w:rsidP="0081467D">
      <w:pPr>
        <w:spacing w:after="240" w:line="257" w:lineRule="auto"/>
        <w:jc w:val="center"/>
        <w:rPr>
          <w:rFonts w:cstheme="minorHAnsi"/>
          <w:b/>
        </w:rPr>
      </w:pPr>
      <w:r w:rsidRPr="00F5175A">
        <w:rPr>
          <w:rFonts w:cstheme="minorHAnsi"/>
          <w:b/>
          <w:color w:val="FF0000"/>
        </w:rPr>
        <w:br w:type="page"/>
      </w:r>
    </w:p>
    <w:p w14:paraId="78D41CBB" w14:textId="65ADA5F4" w:rsidR="00111259" w:rsidRDefault="00111259" w:rsidP="00EC6EAF">
      <w:pPr>
        <w:pStyle w:val="Naslov2"/>
      </w:pPr>
      <w:bookmarkStart w:id="5" w:name="_Toc224047538"/>
      <w:r>
        <w:lastRenderedPageBreak/>
        <w:t>RAČUN PRIHODA I RASHODA</w:t>
      </w:r>
      <w:bookmarkEnd w:id="5"/>
      <w:r>
        <w:t xml:space="preserve"> </w:t>
      </w:r>
    </w:p>
    <w:p w14:paraId="17168503" w14:textId="19E72CC6" w:rsidR="006E72C1" w:rsidRPr="000F1741" w:rsidRDefault="006E72C1" w:rsidP="006E72C1">
      <w:pPr>
        <w:spacing w:after="200" w:line="240" w:lineRule="auto"/>
        <w:jc w:val="both"/>
        <w:rPr>
          <w:rFonts w:cstheme="minorHAnsi"/>
        </w:rPr>
      </w:pPr>
      <w:r w:rsidRPr="000F1741">
        <w:rPr>
          <w:rFonts w:cstheme="minorHAnsi"/>
        </w:rPr>
        <w:t xml:space="preserve">Izvršenje prihoda i rashoda prema ekonomskoj klasifikaciji utvrđenih u Računu prihoda i rashoda za </w:t>
      </w:r>
      <w:r w:rsidRPr="000F1741">
        <w:t>202</w:t>
      </w:r>
      <w:r w:rsidR="00406CAF">
        <w:t>5</w:t>
      </w:r>
      <w:r>
        <w:t>. godinu</w:t>
      </w:r>
      <w:r w:rsidRPr="000F1741">
        <w:t xml:space="preserve"> prikazano</w:t>
      </w:r>
      <w:r w:rsidRPr="000F1741">
        <w:rPr>
          <w:rFonts w:cstheme="minorHAnsi"/>
        </w:rPr>
        <w:t xml:space="preserve"> je u nastavku:</w:t>
      </w:r>
    </w:p>
    <w:p w14:paraId="17A0E94F" w14:textId="03DB8A0B" w:rsidR="000B3A72" w:rsidRDefault="004C238B" w:rsidP="00EC6EAF">
      <w:pPr>
        <w:pStyle w:val="Naslov3"/>
      </w:pPr>
      <w:bookmarkStart w:id="6" w:name="_Toc224047539"/>
      <w:r w:rsidRPr="00FE4677">
        <w:t xml:space="preserve">IZVJEŠTAJ O </w:t>
      </w:r>
      <w:r w:rsidRPr="00EC6EAF">
        <w:t>PRIHODIMA</w:t>
      </w:r>
      <w:r w:rsidRPr="00FE4677">
        <w:t xml:space="preserve"> I </w:t>
      </w:r>
      <w:r w:rsidRPr="004C238B">
        <w:t>RASHODIMA</w:t>
      </w:r>
      <w:r w:rsidRPr="00FE4677">
        <w:t xml:space="preserve"> PREMA EKONOMSKOJ KLASIFIKACIJI</w:t>
      </w:r>
      <w:bookmarkEnd w:id="6"/>
    </w:p>
    <w:tbl>
      <w:tblPr>
        <w:tblW w:w="9794" w:type="dxa"/>
        <w:jc w:val="center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1276"/>
        <w:gridCol w:w="858"/>
        <w:gridCol w:w="719"/>
      </w:tblGrid>
      <w:tr w:rsidR="003D20E0" w:rsidRPr="003D20E0" w14:paraId="069C567F" w14:textId="77777777" w:rsidTr="003D20E0">
        <w:trPr>
          <w:trHeight w:val="480"/>
          <w:tblHeader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8ACE21A" w14:textId="77777777" w:rsidR="003D20E0" w:rsidRPr="003D20E0" w:rsidRDefault="003D20E0" w:rsidP="003D2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Brojčana oznaka i naziv računa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6AE0A0" w14:textId="77777777" w:rsidR="003D20E0" w:rsidRPr="003D20E0" w:rsidRDefault="003D20E0" w:rsidP="003D2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384A84" w14:textId="77777777" w:rsidR="003D20E0" w:rsidRPr="003D20E0" w:rsidRDefault="003D20E0" w:rsidP="003D2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</w:t>
            </w: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8F9579" w14:textId="77777777" w:rsidR="003D20E0" w:rsidRPr="003D20E0" w:rsidRDefault="003D20E0" w:rsidP="003D2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6635E5" w14:textId="77777777" w:rsidR="003D20E0" w:rsidRPr="003D20E0" w:rsidRDefault="003D20E0" w:rsidP="003D2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4./2.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2E8476" w14:textId="77777777" w:rsidR="003D20E0" w:rsidRPr="003D20E0" w:rsidRDefault="003D20E0" w:rsidP="003D2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4./3.</w:t>
            </w:r>
          </w:p>
        </w:tc>
      </w:tr>
      <w:tr w:rsidR="003D20E0" w:rsidRPr="003D20E0" w14:paraId="7266CEC4" w14:textId="77777777" w:rsidTr="001C710A">
        <w:trPr>
          <w:trHeight w:val="106"/>
          <w:tblHeader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6AEFF62" w14:textId="77777777" w:rsidR="003D20E0" w:rsidRPr="003D20E0" w:rsidRDefault="003D20E0" w:rsidP="003D2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8823BF" w14:textId="77777777" w:rsidR="003D20E0" w:rsidRPr="003D20E0" w:rsidRDefault="003D20E0" w:rsidP="003D2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BD04BB9" w14:textId="77777777" w:rsidR="003D20E0" w:rsidRPr="003D20E0" w:rsidRDefault="003D20E0" w:rsidP="003D2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F5E36E" w14:textId="77777777" w:rsidR="003D20E0" w:rsidRPr="003D20E0" w:rsidRDefault="003D20E0" w:rsidP="003D2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22CA1A" w14:textId="77777777" w:rsidR="003D20E0" w:rsidRPr="003D20E0" w:rsidRDefault="003D20E0" w:rsidP="003D2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B02ACD" w14:textId="77777777" w:rsidR="003D20E0" w:rsidRPr="003D20E0" w:rsidRDefault="003D20E0" w:rsidP="003D2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3D20E0" w:rsidRPr="003D20E0" w14:paraId="43FD2307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D171C4D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 PRIHODI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AA5B3C7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14.385.897,50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1EEB23C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20.032.861,59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D387294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16.626.451,70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99055E1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115,57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13B88D4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83,00</w:t>
            </w:r>
          </w:p>
        </w:tc>
      </w:tr>
      <w:tr w:rsidR="003D20E0" w:rsidRPr="003D20E0" w14:paraId="425B0D33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135A09A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15F24B6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14.380.396,50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10421F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17.380.038,44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C5573B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16.626.091,70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B06693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115,62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5BDDDC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95,66</w:t>
            </w:r>
          </w:p>
        </w:tc>
      </w:tr>
      <w:tr w:rsidR="003D20E0" w:rsidRPr="003D20E0" w14:paraId="1250377A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1633EC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D2A8C6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887.433,71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A164B6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3.176.767,12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A1571C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2.030.468,60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97ACF8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228,80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D37584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63,92</w:t>
            </w:r>
          </w:p>
        </w:tc>
      </w:tr>
      <w:tr w:rsidR="009F6A2D" w:rsidRPr="003D20E0" w14:paraId="65BADC23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CF3CD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633 Pomoći proračunu i izvanproračunskim korisnicima iz drugih proračuna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1C6F5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887.433,71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A636A" w14:textId="166C8996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62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E579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2.030.468,60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387B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228,80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CB9B" w14:textId="10B2D762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F1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31CB080A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C1AF5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6331 Tekuće pomoći proračunu i izvanproračunskim korisnicima iz drugih proračuna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0698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613.960,93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0A3AD" w14:textId="21C7B3FE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62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EEFF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270.533,53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B3F5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99A5" w14:textId="13956E89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F1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29DF0ADA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02AD8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6332 Kapitalne pomoći proračunu i izvanproračunskim korisnicima iz drugih proračuna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877B0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273.472,78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5EE5" w14:textId="0C1F4425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62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96DBA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1.759.935,07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3770D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643,55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AF894" w14:textId="297CAF2C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F194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D20E0" w:rsidRPr="003D20E0" w14:paraId="0C887E6D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B012CD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 Prihodi od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CE38DC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13.042.137,93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682976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13.218.540,71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0B7008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13.597.543,69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D5A66A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5E2399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102,87</w:t>
            </w:r>
          </w:p>
        </w:tc>
      </w:tr>
      <w:tr w:rsidR="009F6A2D" w:rsidRPr="003D20E0" w14:paraId="08C6B7CA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C6E7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641 Prihodi od financijske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8BAB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20.416,40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13C8" w14:textId="0F93E654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631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D8BD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13.916,64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EB8E0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68,16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77100" w14:textId="3FA37973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78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2B8F0227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68FE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6413 Kamate na oročena sredstva i depozite po viđenju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9C358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7.263,02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F677" w14:textId="3BEF0862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631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6F17E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6.985,93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B6CCD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96,18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9E264" w14:textId="5A15EA1F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78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5E5A53D5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25455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6414 Prihodi od zateznih kamata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0343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13.153,38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C1EFE" w14:textId="0982B3CE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631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DE7A5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6.930,71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5199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3E50" w14:textId="0B27F27F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78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721C59A8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F0B3D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642 Prihodi od nefinancijske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FC79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13.021.721,53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9B94" w14:textId="74950146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631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4CA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13.583.627,05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FB2F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F81D" w14:textId="79CA85D3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78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152EB6BC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7C3D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6424 Naknade za ceste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13E5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13.021.721,53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E29B" w14:textId="38AB8DF6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631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007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13.583.627,05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C85D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8568" w14:textId="77B185D2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C789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D20E0" w:rsidRPr="003D20E0" w14:paraId="16A1E19A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24F681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119325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46DBF1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707CCD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30.998,37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708C8E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9.043,23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CCF363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172,21</w:t>
            </w:r>
          </w:p>
        </w:tc>
      </w:tr>
      <w:tr w:rsidR="009F6A2D" w:rsidRPr="003D20E0" w14:paraId="1E5B3C46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8931B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652 Prihodi po posebnim propisima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05B8E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5543E" w14:textId="1EE98F3D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5D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9988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30.998,37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A310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9.043,23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7808C" w14:textId="223B4C72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15B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751B2828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12DC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6526 Ostali nespomenuti prihodi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45C0F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98FF" w14:textId="15545C7E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5D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378A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30.998,37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D9F38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9.043,23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20B60" w14:textId="4085C085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15B4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D20E0" w:rsidRPr="003D20E0" w14:paraId="48848265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DE06EE8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0B952C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428.988,76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66791F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960.230,61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4186AF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960.230,61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D8BB0C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223,84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8C7C2D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F6A2D" w:rsidRPr="003D20E0" w14:paraId="46DED106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3170" w14:textId="13F70188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663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Dona</w:t>
            </w: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cije od pravnih i fizičkih osoba izvan općeg proračuna te povrat donacija i kapitalnih pomoći po protestiranim jamstvima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459DF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428.988,76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A518" w14:textId="09A4293C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3F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23E78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960.230,61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56A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223,84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F8B46" w14:textId="7AD56338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634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1E2E9AD2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5AFCA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6631 Tekuće donacije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C5B5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428.988,76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64D4" w14:textId="04371AD0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E3F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FC12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960.230,61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1D52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223,84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CA60" w14:textId="74E8780E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6342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D20E0" w:rsidRPr="003D20E0" w14:paraId="28AF62C9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F62AE0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 Kazne, upravne mjere i ostali prihodi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D7C33F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21.493,32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6A02B5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F6A3C9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6.850,43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F61B2E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31,87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7D804A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105,39</w:t>
            </w:r>
          </w:p>
        </w:tc>
      </w:tr>
      <w:tr w:rsidR="009F6A2D" w:rsidRPr="003D20E0" w14:paraId="4EDAB741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92EE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683 Ostali prihodi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AB376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21.493,32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B192" w14:textId="514ABB07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029F8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6.850,43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F99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31,87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0DC9" w14:textId="7FFFB140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0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152C4AEB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50D48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6831 Ostali prihodi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B66BD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21.493,32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12380" w14:textId="029512F6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947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B99E0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6.850,43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FEF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31,87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31D9" w14:textId="1E072C1A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802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D20E0" w:rsidRPr="003D20E0" w14:paraId="5E928373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42E13A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C74F54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5.501,00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3B1A84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12.111,08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74FAFD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CDAF3A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DC80C73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2,97</w:t>
            </w:r>
          </w:p>
        </w:tc>
      </w:tr>
      <w:tr w:rsidR="003D20E0" w:rsidRPr="003D20E0" w14:paraId="32960511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C9AD4B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 Prihodi od prodaje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09D9E9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5.501,00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F973F2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12.111,08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E1DC83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D56003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D12570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2,97</w:t>
            </w:r>
          </w:p>
        </w:tc>
      </w:tr>
      <w:tr w:rsidR="009F6A2D" w:rsidRPr="003D20E0" w14:paraId="22B3DAD3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2CAD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722 Prihodi od prodaje postrojenja i opreme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B7F8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99E1B" w14:textId="39D51FD3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20F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32C6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9BEA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124,14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4383" w14:textId="37837B92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878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5C7C09D1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E8925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7221 Uredska oprema i namještaj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04EFF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5E76" w14:textId="71E2E9E3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20F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95D5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FD25D" w14:textId="114947EB" w:rsidR="009F6A2D" w:rsidRPr="003D20E0" w:rsidRDefault="00C9737C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60649" w14:textId="0C52E454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878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73C31C88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174F7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7222 Komunikacijska oprema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D9A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F4A5" w14:textId="3C93C738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20F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1ADB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374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E6E1D" w14:textId="2D6284D0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878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4EBB6381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A90FC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723 Prihodi od prodaje prijevoznih sredstava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C586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5.211,00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8570" w14:textId="39D25A30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20F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F8C5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8AA9" w14:textId="2BD8CE34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942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6138" w14:textId="599D9902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878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233491C0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349E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7231 Prijevozna sredstva u cestovnom prometu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425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5.211,00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D5B73" w14:textId="45486B32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20F6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F078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AED15" w14:textId="31B4C515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9427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61A88" w14:textId="4033FBDE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878E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D20E0" w:rsidRPr="003D20E0" w14:paraId="19BFEDCC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C82B06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4274877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15.127.450,40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13DB6B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20.032.861,59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ED557B6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16.416.709,29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992B1AB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108,52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BB6AAB7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81,95</w:t>
            </w:r>
          </w:p>
        </w:tc>
      </w:tr>
      <w:tr w:rsidR="003D20E0" w:rsidRPr="003D20E0" w14:paraId="40EF1EDF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12713D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8F31F7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13.743.403,67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7C8D80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15.503.086,29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4D26E4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13.092.199,96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D9C5EF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95,26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8B1D48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84,45</w:t>
            </w:r>
          </w:p>
        </w:tc>
      </w:tr>
      <w:tr w:rsidR="003D20E0" w:rsidRPr="003D20E0" w14:paraId="29B399DE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802CB0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3F2BA9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570.642,56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7AD66C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932.991,67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80D9E1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901.371,48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33751D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157,96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20B459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96,61</w:t>
            </w:r>
          </w:p>
        </w:tc>
      </w:tr>
      <w:tr w:rsidR="009F6A2D" w:rsidRPr="003D20E0" w14:paraId="1B0C3F2C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A3D3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311 Plaće (Bruto)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CF1C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449.143,41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4FDF" w14:textId="58957EA3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4C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DEAAA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714.547,38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04EA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159,09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54C48" w14:textId="2A44DAE1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3408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7684B02B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04CBB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3111 Plaće za redovan rad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C824B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449.143,41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4159" w14:textId="70C869D8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4C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E5D3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714.547,38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981D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159,09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3672" w14:textId="0BD4C1A3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3408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69EA9BF6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4C18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312 Ostali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12E8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47.390,40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50E1F" w14:textId="0EEE40D3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4C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8BD0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66.883,46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F6827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141,13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85D8" w14:textId="552909C4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3408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3B4C03E4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2D2B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3121 Ostali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7ADAD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47.390,40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A4A2" w14:textId="6B62FC46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D4CA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EAC13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66.883,46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2AD8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141,13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4876C" w14:textId="1F6D2A03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3408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7746A017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0A82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313 Doprinosi na plaće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5FE68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74.108,75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CC40" w14:textId="2328FB03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166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7F60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119.940,64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74B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161,84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99CF2" w14:textId="6A51D4F5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C3F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6021EE6A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88AB1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3132 Doprinosi za obvezno zdravstveno osiguranje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D8E48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74.108,75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81BE0" w14:textId="098CCDDA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166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2314B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118.600,23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110C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160,04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CA425" w14:textId="6C203CC9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C3F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60C5E676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44395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3133 Doprinosi za obvezno osiguranje u slučaju nezaposlenosti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7442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5EC9B" w14:textId="1DE5E2DD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1661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CDFA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1.340,41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4B73B" w14:textId="2E3496E1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609E1" w14:textId="5605FAAD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C3FD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D20E0" w:rsidRPr="003D20E0" w14:paraId="7E5DA73E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272206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50FBE6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12.316.831,37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DC777A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13.505.923,33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E063C1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11.281.347,93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5FB430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91,59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905D72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83,53</w:t>
            </w:r>
          </w:p>
        </w:tc>
      </w:tr>
      <w:tr w:rsidR="009F6A2D" w:rsidRPr="003D20E0" w14:paraId="69EEBF65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E4A4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4FCE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21.234,78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5EB7" w14:textId="26540020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153E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33.456,40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C41A0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157,55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61E8" w14:textId="52C4F225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49FECA67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75CA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6FAC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5.152,23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8D02E" w14:textId="27D79BFC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6579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E153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135,86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E520" w14:textId="1EC53B2C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3F8D2CF7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B0BA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3212 Naknade za prijevoz, za rad na terenu i odvojeni život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3AB36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11.683,81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BEFB6" w14:textId="1A4AE63A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02B2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16.523,40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C178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141,42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0D47" w14:textId="1C78A6D4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147B839E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2E735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B02C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4.398,74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729B" w14:textId="2A24ED7B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C905B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9.933,00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CA0D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225,81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2A25" w14:textId="5F47F470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39D500F5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50463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2873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24.546,42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A9F7D" w14:textId="44174687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564D7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24.283,32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4B4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98,93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74A1" w14:textId="590E929F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0AC6CC85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280E2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3221 Uredski materijal i ostali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3BAF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9.191,80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9A3C1" w14:textId="3F4F9C11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14A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9.170,43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0457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501E7" w14:textId="09533319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38719BAC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B661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3223 Energija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15339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12.090,57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7D15" w14:textId="162C8F83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847E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13.188,61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A4FA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109,08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BE13" w14:textId="2E0468FC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2325B833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DD4DF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3224 Materijal i dijelovi za tekuće i investicijsko održavanje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C627B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AB8B6" w14:textId="41718C0E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088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2,79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8719" w14:textId="328D0204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78712" w14:textId="762205A4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77232F5F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3D56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3225 Sitni inventar i auto gume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6110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3.264,05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9B32" w14:textId="52E1E233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B7B7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1.921,49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A63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58,87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A746" w14:textId="217247CA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635A4ED5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D54F6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1282D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12.232.544,13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12C6" w14:textId="71AE9D3B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1A42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11.176.152,58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3822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91,36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2483F" w14:textId="77E09C82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1E6E6E80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F3931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3231 Usluge telefona, interneta, pošte i prijevoza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1D14A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9.909,50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6B81D" w14:textId="7E14E990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D4CD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10.821,71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D9305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109,21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D26C" w14:textId="1ECC5779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58F00374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EDB5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8FDFD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11.732.571,68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4A675" w14:textId="5DF8B00C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29E4A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10.646.450,76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30CF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90,74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4A52" w14:textId="7CBCA271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5016BBD8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66EA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3233 Usluge promidžbe i informiranja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D675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31.435,34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109DD" w14:textId="4F371FF3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4487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29.817,37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D2C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94,85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A07E" w14:textId="766AE846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1B1F3CE4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11E8B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3234 Komunalne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8280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73.090,14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457B2" w14:textId="538F40AB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5106C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71.468,69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3C107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0C916" w14:textId="6CCFFC7A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62F83658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BFE3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3235 Zakupnine i najamnine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11EC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7.308,03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5FAA1" w14:textId="4F8F795C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CB985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16.054,97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04A6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219,69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2C44" w14:textId="19B23400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16F350E8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C1BB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3236 Zdravstvene i veterinarske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A152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93F93" w14:textId="160A7052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A0CC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5.851,00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DAD5E" w14:textId="669329D8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0C146" w14:textId="5B4C641B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15A99868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389C9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3237 Intelektualne i osobne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98BA8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92.152,45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F893D" w14:textId="3D8F04DF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E7DD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98.808,84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E91E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107,22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09F4" w14:textId="243A99CA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1FA67B42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87B31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3238 Računalne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ABD20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27.069,07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6428D" w14:textId="42074136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F177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32.195,36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33EB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118,94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8EBAF" w14:textId="36BF0087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181FFB1B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34EEB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3239 Ostale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77333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259.007,92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B3F99" w14:textId="3D3AC6AE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A2C7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264.683,88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9018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E6D3" w14:textId="59F4A3E2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1242EB6F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F51B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7CC6C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38.506,04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A2D3E" w14:textId="6EDCE89A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66D7B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47.455,63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C5E0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123,24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DF313" w14:textId="4473A896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50D127A0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B866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E7EF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6.233,56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B595" w14:textId="0A9B49AE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F556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5.633,98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CC6C5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90,38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6E60" w14:textId="2DFC0909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43B4050C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9FB4C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3292 Premije osiguranja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41BD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9.212,15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8D32B" w14:textId="28B1D947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EB7E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7.459,71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C1690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80,98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91B1" w14:textId="6F705A8C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29C74109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7DB7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DC5F2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5.526,48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C77A" w14:textId="12654F75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4891C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5.932,96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BF5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107,36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4D049" w14:textId="18D39641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22134B5A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6B8CE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3294 Članarine i norme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C9C10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9.987,57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BFADC" w14:textId="22F2C0A5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BD3C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8.928,58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958B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89,40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8BACE" w14:textId="6443BDE1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489DC4E8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7F5B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8A0B9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AAACD" w14:textId="7377B746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77342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4.543,63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7D52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150,97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DA488" w14:textId="2737444E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41E36730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7C767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3296 Troškovi sudskih postupaka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9B36D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1.464,04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543DA" w14:textId="02EDB542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8C136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10.960,93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9053D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748,68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AE016" w14:textId="682F5741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65FDD99B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A62F2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2CBD5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3.072,58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29620" w14:textId="2337C95C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5556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62B1B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3.995,84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090B6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130,05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7129" w14:textId="7990165D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105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D20E0" w:rsidRPr="003D20E0" w14:paraId="6F6F4245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91F37D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36D6A1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31.395,24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D4BE9F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84.771,29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A1B553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80.508,43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B609A4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256,44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9CC646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94,97</w:t>
            </w:r>
          </w:p>
        </w:tc>
      </w:tr>
      <w:tr w:rsidR="009F6A2D" w:rsidRPr="003D20E0" w14:paraId="5A4AA7F4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E3EEA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342 Kamate za primljene kredite i zajmove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05593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29.591,49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FB594" w14:textId="7D7D79B9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3B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CC0C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23.184,47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1EE09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5848B" w14:textId="7EC2A5CB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677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3C0C01E6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2536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3423 Kamate za primljene kredite i zajmove od kreditnih i ostalih financijskih institucija izvan javnog sektora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8632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29.591,49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167D" w14:textId="7536C3E3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3B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289A8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23.184,47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7E07A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781E" w14:textId="41300B71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677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3EBAEF4D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196B8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343 Ostali financijski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D33B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1.803,75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755BA" w14:textId="69C315B0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3B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08B80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57.323,96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4798E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3.178,04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FE14" w14:textId="3BE46EDF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677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7B988491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32FE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3431 Bankarske usluge i usluge platnog prometa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01D5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1.803,75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30DC3" w14:textId="0C55335E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3B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3D353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2.046,49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D6C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113,46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1FF36" w14:textId="174B475E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677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7295C81E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2B998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3433 Zatezne kamate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6CD1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DEA5" w14:textId="0E5931C9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3BA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B0EC6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55.277,47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28991" w14:textId="003A0BD4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25AA" w14:textId="4896DD9E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677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D20E0" w:rsidRPr="003D20E0" w14:paraId="5C4C5E9E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2B0D2C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A54EF0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819.758,88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D23410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870.400,00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2432B6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803.862,43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BA5559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68FA05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92,36</w:t>
            </w:r>
          </w:p>
        </w:tc>
      </w:tr>
      <w:tr w:rsidR="009F6A2D" w:rsidRPr="003D20E0" w14:paraId="3F6728F0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6B434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363 Pomoći drugom proračunu i izvanproračunskim korisnicima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C22CE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819.758,88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12AD" w14:textId="057047BB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624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94885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803.862,43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EFB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C0FA" w14:textId="36A5F698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5A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314B4585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A4B3D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3631 Tekuće pomoći drugom proračunu i izvanproračunskim korisnicima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4B0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819.758,88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82A3" w14:textId="2466DF0C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624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F8B2D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803.862,43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E1C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3DA53" w14:textId="3AB2EA09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D5A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D20E0" w:rsidRPr="003D20E0" w14:paraId="5B91B71B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B6DA77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E7C4F0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4.775,62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7AE1C6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343C0F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25.109,69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F10CD1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525,79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856573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23,04</w:t>
            </w:r>
          </w:p>
        </w:tc>
      </w:tr>
      <w:tr w:rsidR="003D20E0" w:rsidRPr="003D20E0" w14:paraId="2F52484F" w14:textId="77777777" w:rsidTr="008F74FA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67D8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383 Kazne, penali i naknade štete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E858F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4.775,62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6B2B6" w14:textId="19878D07" w:rsidR="003D20E0" w:rsidRPr="003D20E0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9F6A2D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F0C5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25.109,69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B8AC3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525,79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72279" w14:textId="7CC9261F" w:rsidR="003D20E0" w:rsidRPr="003D20E0" w:rsidRDefault="003D20E0" w:rsidP="003D20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9F6A2D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63ACA31A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CDC10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3831 Naknade šteta pravnim i fizičkim osobama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311BA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1.242,29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E418" w14:textId="59F1DF88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375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A16D3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25.109,69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A000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2.021,24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09E1" w14:textId="014C119E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B5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7986141C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F648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3835 Ostale kazne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A203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3.533,33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1D157" w14:textId="76420AE2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375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8D2C5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A9314" w14:textId="28A6B250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32FD" w14:textId="36E65ED6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B5F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D20E0" w:rsidRPr="003D20E0" w14:paraId="291FC9D9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7BE6E49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F99A097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984.046,73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3B291ED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4.129.775,30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951F79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2.924.509,33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E5076C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297,19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5AA95A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70,82</w:t>
            </w:r>
          </w:p>
        </w:tc>
      </w:tr>
      <w:tr w:rsidR="009F6A2D" w:rsidRPr="003D20E0" w14:paraId="3DEDEAE7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8F4FBE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F2F18E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29C40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513818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E1F9D7" w14:textId="12CF9F9C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07F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3A702A" w14:textId="5477B718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C15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540A36DE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831F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411 Materijalna imovina - prirodna bogatstva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28FB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9149B" w14:textId="4A04C2B0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F26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8359B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D5719" w14:textId="014D35D1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07F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3211D" w14:textId="1E4996D0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C15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45843C98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7BA9E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4111 Zemljište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EFC5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7CC0" w14:textId="2B4C5A27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F26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BCFA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67387" w14:textId="12641CEF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07F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B811" w14:textId="0565FA3C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C15D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D20E0" w:rsidRPr="003D20E0" w14:paraId="63572CFA" w14:textId="77777777" w:rsidTr="003D20E0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155F0B" w14:textId="77777777" w:rsidR="003D20E0" w:rsidRPr="003D20E0" w:rsidRDefault="003D20E0" w:rsidP="003D20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EC224E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982.146,73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ECE72B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4.124.775,30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6D5ED9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2.924.509,33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DC78FC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297,77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1A2054" w14:textId="77777777" w:rsidR="003D20E0" w:rsidRPr="003D20E0" w:rsidRDefault="003D20E0" w:rsidP="003D20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70,90</w:t>
            </w:r>
          </w:p>
        </w:tc>
      </w:tr>
      <w:tr w:rsidR="009F6A2D" w:rsidRPr="003D20E0" w14:paraId="1B1962A7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55368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 Građevinski objekti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D756E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952.317,46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EBCB9" w14:textId="5DFD0A42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41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AF526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2.882.245,85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B9AE2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302,66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18F0B" w14:textId="037329E6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A2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493CBBA5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6959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85C8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952.317,46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1FDFC" w14:textId="681ADD99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41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71B5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2.882.245,85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BF95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302,66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8FDC8" w14:textId="4EDB0237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A2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466719AC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888D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 Postrojenja i oprema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5A5E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10.935,29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DBD7D" w14:textId="4147B2F6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41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291E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10.788,98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5365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98,66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D07F5" w14:textId="2A27488D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A2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51C63B01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0A2E3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4221 Uredska oprema i namještaj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E2A4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8.593,69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70F0" w14:textId="5853FED5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41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8C56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9.856,98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DC7D6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114,70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83BAC" w14:textId="5058C920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A2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0C92AAF9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28994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4222 Komunikacijska oprema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C209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982,10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DA38" w14:textId="01E0890D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41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44F1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932,00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A05E8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94,90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811A" w14:textId="28CCE125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A2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760B3A15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D4EA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4223 Oprema za održavanje i zaštitu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19A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22CF" w14:textId="0E67B8A4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41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E398F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32566" w14:textId="6F1E4916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08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E9D08" w14:textId="532313D5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A2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56710F72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3356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4227 Uređaji, strojevi i oprema za ostale namjene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3FE3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B28A" w14:textId="2A8ACC56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41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F587B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6CBB" w14:textId="68F7CABF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5083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21A1F" w14:textId="77A377F6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A2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33FA467D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6FBD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423 Prijevozna sredstva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D920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18.893,98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233A" w14:textId="57F1391A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41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537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31.474,50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FB21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166,58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FC1B" w14:textId="49D9EF71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A2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3D20E0" w14:paraId="173FEC8F" w14:textId="77777777" w:rsidTr="009F6A2D">
        <w:trPr>
          <w:trHeight w:val="283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0979" w14:textId="77777777" w:rsidR="009F6A2D" w:rsidRPr="003D20E0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4231 Prijevozna sredstva u cestovnom prometu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B20B0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18.893,98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1EB33" w14:textId="1A96DCF0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6416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CAF0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31.474,50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10A3" w14:textId="77777777" w:rsidR="009F6A2D" w:rsidRPr="003D20E0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166,58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10093" w14:textId="1376E90C" w:rsidR="009F6A2D" w:rsidRPr="003D20E0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A2FB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2B6EB0DB" w14:textId="3B4E63F6" w:rsidR="000B3A72" w:rsidRDefault="000B3A72" w:rsidP="00EC6EAF">
      <w:pPr>
        <w:pStyle w:val="Naslov2"/>
      </w:pPr>
      <w:bookmarkStart w:id="7" w:name="_Toc224047540"/>
      <w:r w:rsidRPr="00FE4677">
        <w:t>RAČUN FINANCIRANJA</w:t>
      </w:r>
      <w:bookmarkEnd w:id="7"/>
      <w:r w:rsidRPr="00FE4677">
        <w:t xml:space="preserve"> </w:t>
      </w:r>
    </w:p>
    <w:p w14:paraId="3420C5FE" w14:textId="1AEE8711" w:rsidR="00FD3F67" w:rsidRPr="00115E47" w:rsidRDefault="006E72C1" w:rsidP="006E72C1">
      <w:pPr>
        <w:spacing w:after="0" w:line="240" w:lineRule="auto"/>
        <w:jc w:val="both"/>
        <w:rPr>
          <w:rFonts w:cstheme="minorHAnsi"/>
        </w:rPr>
      </w:pPr>
      <w:r w:rsidRPr="00115E47">
        <w:rPr>
          <w:rFonts w:cstheme="minorHAnsi"/>
        </w:rPr>
        <w:t xml:space="preserve">Izdaci prema ekonomskoj klasifikaciji </w:t>
      </w:r>
      <w:r>
        <w:rPr>
          <w:rFonts w:cstheme="minorHAnsi"/>
        </w:rPr>
        <w:t xml:space="preserve">u Računu financiranja za </w:t>
      </w:r>
      <w:r w:rsidRPr="00115E47">
        <w:rPr>
          <w:rFonts w:cstheme="minorHAnsi"/>
        </w:rPr>
        <w:t>202</w:t>
      </w:r>
      <w:r w:rsidR="00406CAF">
        <w:rPr>
          <w:rFonts w:cstheme="minorHAnsi"/>
        </w:rPr>
        <w:t>5</w:t>
      </w:r>
      <w:r w:rsidRPr="00115E47">
        <w:rPr>
          <w:rFonts w:cstheme="minorHAnsi"/>
        </w:rPr>
        <w:t>. godinu izvršeni su kako slijedi:</w:t>
      </w:r>
    </w:p>
    <w:p w14:paraId="50837C74" w14:textId="585383C1" w:rsidR="000B3A72" w:rsidRDefault="00240CF7" w:rsidP="00EC6EAF">
      <w:pPr>
        <w:pStyle w:val="Naslov3"/>
      </w:pPr>
      <w:bookmarkStart w:id="8" w:name="_Toc224047541"/>
      <w:r w:rsidRPr="00876748">
        <w:t>IZVJEŠTAJ RAČUNA FINANCIRANJA PREMA EKONOMSKOJ KLASIFIKACIJI</w:t>
      </w:r>
      <w:bookmarkEnd w:id="8"/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7"/>
        <w:gridCol w:w="1041"/>
        <w:gridCol w:w="1227"/>
        <w:gridCol w:w="1041"/>
        <w:gridCol w:w="802"/>
        <w:gridCol w:w="719"/>
      </w:tblGrid>
      <w:tr w:rsidR="000C4AFF" w:rsidRPr="000C4AFF" w14:paraId="53A55C5D" w14:textId="77777777" w:rsidTr="000C4AFF">
        <w:trPr>
          <w:trHeight w:val="480"/>
          <w:jc w:val="center"/>
        </w:trPr>
        <w:tc>
          <w:tcPr>
            <w:tcW w:w="4967" w:type="dxa"/>
            <w:shd w:val="clear" w:color="000000" w:fill="DDEBF7"/>
            <w:noWrap/>
            <w:vAlign w:val="center"/>
            <w:hideMark/>
          </w:tcPr>
          <w:p w14:paraId="1E367B61" w14:textId="77777777" w:rsidR="000C4AFF" w:rsidRPr="000C4AFF" w:rsidRDefault="000C4AFF" w:rsidP="000C4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Brojčana oznaka i naziv računa </w:t>
            </w:r>
          </w:p>
        </w:tc>
        <w:tc>
          <w:tcPr>
            <w:tcW w:w="1041" w:type="dxa"/>
            <w:shd w:val="clear" w:color="000000" w:fill="DDEBF7"/>
            <w:vAlign w:val="center"/>
            <w:hideMark/>
          </w:tcPr>
          <w:p w14:paraId="2B280172" w14:textId="77777777" w:rsidR="000C4AFF" w:rsidRPr="000C4AFF" w:rsidRDefault="000C4AFF" w:rsidP="000C4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1227" w:type="dxa"/>
            <w:shd w:val="clear" w:color="000000" w:fill="DDEBF7"/>
            <w:vAlign w:val="center"/>
            <w:hideMark/>
          </w:tcPr>
          <w:p w14:paraId="38CC37A6" w14:textId="77777777" w:rsidR="000C4AFF" w:rsidRPr="000C4AFF" w:rsidRDefault="000C4AFF" w:rsidP="000C4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</w:t>
            </w: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041" w:type="dxa"/>
            <w:shd w:val="clear" w:color="000000" w:fill="DDEBF7"/>
            <w:vAlign w:val="center"/>
            <w:hideMark/>
          </w:tcPr>
          <w:p w14:paraId="0D7FAEDA" w14:textId="77777777" w:rsidR="000C4AFF" w:rsidRPr="000C4AFF" w:rsidRDefault="000C4AFF" w:rsidP="000C4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802" w:type="dxa"/>
            <w:shd w:val="clear" w:color="000000" w:fill="DDEBF7"/>
            <w:vAlign w:val="center"/>
            <w:hideMark/>
          </w:tcPr>
          <w:p w14:paraId="7663A8F9" w14:textId="77777777" w:rsidR="000C4AFF" w:rsidRPr="000C4AFF" w:rsidRDefault="000C4AFF" w:rsidP="000C4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4./2. 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6856591B" w14:textId="77777777" w:rsidR="000C4AFF" w:rsidRPr="000C4AFF" w:rsidRDefault="000C4AFF" w:rsidP="000C4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4./3.</w:t>
            </w:r>
          </w:p>
        </w:tc>
      </w:tr>
      <w:tr w:rsidR="000C4AFF" w:rsidRPr="000C4AFF" w14:paraId="7C6B984F" w14:textId="77777777" w:rsidTr="001C710A">
        <w:trPr>
          <w:trHeight w:val="99"/>
          <w:jc w:val="center"/>
        </w:trPr>
        <w:tc>
          <w:tcPr>
            <w:tcW w:w="4967" w:type="dxa"/>
            <w:shd w:val="clear" w:color="000000" w:fill="DDEBF7"/>
            <w:noWrap/>
            <w:vAlign w:val="center"/>
            <w:hideMark/>
          </w:tcPr>
          <w:p w14:paraId="09D549C9" w14:textId="77777777" w:rsidR="000C4AFF" w:rsidRPr="000C4AFF" w:rsidRDefault="000C4AFF" w:rsidP="000C4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041" w:type="dxa"/>
            <w:shd w:val="clear" w:color="000000" w:fill="DDEBF7"/>
            <w:vAlign w:val="center"/>
            <w:hideMark/>
          </w:tcPr>
          <w:p w14:paraId="567C4A02" w14:textId="77777777" w:rsidR="000C4AFF" w:rsidRPr="000C4AFF" w:rsidRDefault="000C4AFF" w:rsidP="000C4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27" w:type="dxa"/>
            <w:shd w:val="clear" w:color="000000" w:fill="DDEBF7"/>
            <w:noWrap/>
            <w:vAlign w:val="center"/>
            <w:hideMark/>
          </w:tcPr>
          <w:p w14:paraId="79300C16" w14:textId="77777777" w:rsidR="000C4AFF" w:rsidRPr="000C4AFF" w:rsidRDefault="000C4AFF" w:rsidP="000C4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041" w:type="dxa"/>
            <w:shd w:val="clear" w:color="000000" w:fill="DDEBF7"/>
            <w:vAlign w:val="center"/>
            <w:hideMark/>
          </w:tcPr>
          <w:p w14:paraId="434C8E45" w14:textId="77777777" w:rsidR="000C4AFF" w:rsidRPr="000C4AFF" w:rsidRDefault="000C4AFF" w:rsidP="000C4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02" w:type="dxa"/>
            <w:shd w:val="clear" w:color="000000" w:fill="DDEBF7"/>
            <w:noWrap/>
            <w:vAlign w:val="center"/>
            <w:hideMark/>
          </w:tcPr>
          <w:p w14:paraId="6AFAC4A8" w14:textId="77777777" w:rsidR="000C4AFF" w:rsidRPr="000C4AFF" w:rsidRDefault="000C4AFF" w:rsidP="000C4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315747D6" w14:textId="77777777" w:rsidR="000C4AFF" w:rsidRPr="000C4AFF" w:rsidRDefault="000C4AFF" w:rsidP="000C4A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0C4AFF" w:rsidRPr="000C4AFF" w14:paraId="0FADC383" w14:textId="77777777" w:rsidTr="001C710A">
        <w:trPr>
          <w:trHeight w:val="283"/>
          <w:jc w:val="center"/>
        </w:trPr>
        <w:tc>
          <w:tcPr>
            <w:tcW w:w="4967" w:type="dxa"/>
            <w:shd w:val="clear" w:color="000000" w:fill="9BC2E6"/>
            <w:vAlign w:val="center"/>
            <w:hideMark/>
          </w:tcPr>
          <w:p w14:paraId="46BEF80C" w14:textId="77777777" w:rsidR="000C4AFF" w:rsidRPr="000C4AFF" w:rsidRDefault="000C4AFF" w:rsidP="000C4A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 IZDACI</w:t>
            </w:r>
          </w:p>
        </w:tc>
        <w:tc>
          <w:tcPr>
            <w:tcW w:w="1041" w:type="dxa"/>
            <w:shd w:val="clear" w:color="000000" w:fill="9BC2E6"/>
            <w:vAlign w:val="center"/>
            <w:hideMark/>
          </w:tcPr>
          <w:p w14:paraId="273ECD30" w14:textId="77777777" w:rsidR="000C4AFF" w:rsidRPr="000C4AFF" w:rsidRDefault="000C4AFF" w:rsidP="000C4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27" w:type="dxa"/>
            <w:shd w:val="clear" w:color="000000" w:fill="9BC2E6"/>
            <w:vAlign w:val="center"/>
            <w:hideMark/>
          </w:tcPr>
          <w:p w14:paraId="2F526256" w14:textId="77777777" w:rsidR="000C4AFF" w:rsidRPr="000C4AFF" w:rsidRDefault="000C4AFF" w:rsidP="000C4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041" w:type="dxa"/>
            <w:shd w:val="clear" w:color="000000" w:fill="9BC2E6"/>
            <w:vAlign w:val="center"/>
            <w:hideMark/>
          </w:tcPr>
          <w:p w14:paraId="0693440E" w14:textId="77777777" w:rsidR="000C4AFF" w:rsidRPr="000C4AFF" w:rsidRDefault="000C4AFF" w:rsidP="000C4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802" w:type="dxa"/>
            <w:shd w:val="clear" w:color="000000" w:fill="9BC2E6"/>
            <w:vAlign w:val="center"/>
            <w:hideMark/>
          </w:tcPr>
          <w:p w14:paraId="5AA67326" w14:textId="77777777" w:rsidR="000C4AFF" w:rsidRPr="000C4AFF" w:rsidRDefault="000C4AFF" w:rsidP="000C4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19" w:type="dxa"/>
            <w:shd w:val="clear" w:color="000000" w:fill="9BC2E6"/>
            <w:vAlign w:val="center"/>
            <w:hideMark/>
          </w:tcPr>
          <w:p w14:paraId="3E9C5D22" w14:textId="77777777" w:rsidR="000C4AFF" w:rsidRPr="000C4AFF" w:rsidRDefault="000C4AFF" w:rsidP="000C4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0C4AFF" w:rsidRPr="000C4AFF" w14:paraId="3D40A1E4" w14:textId="77777777" w:rsidTr="001C710A">
        <w:trPr>
          <w:trHeight w:val="283"/>
          <w:jc w:val="center"/>
        </w:trPr>
        <w:tc>
          <w:tcPr>
            <w:tcW w:w="4967" w:type="dxa"/>
            <w:shd w:val="clear" w:color="000000" w:fill="BDD7EE"/>
            <w:vAlign w:val="center"/>
            <w:hideMark/>
          </w:tcPr>
          <w:p w14:paraId="18322A1F" w14:textId="77777777" w:rsidR="000C4AFF" w:rsidRPr="000C4AFF" w:rsidRDefault="000C4AFF" w:rsidP="000C4A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041" w:type="dxa"/>
            <w:shd w:val="clear" w:color="000000" w:fill="BDD7EE"/>
            <w:vAlign w:val="center"/>
            <w:hideMark/>
          </w:tcPr>
          <w:p w14:paraId="57869D35" w14:textId="77777777" w:rsidR="000C4AFF" w:rsidRPr="000C4AFF" w:rsidRDefault="000C4AFF" w:rsidP="000C4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27" w:type="dxa"/>
            <w:shd w:val="clear" w:color="000000" w:fill="BDD7EE"/>
            <w:vAlign w:val="center"/>
            <w:hideMark/>
          </w:tcPr>
          <w:p w14:paraId="6249F210" w14:textId="77777777" w:rsidR="000C4AFF" w:rsidRPr="000C4AFF" w:rsidRDefault="000C4AFF" w:rsidP="000C4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041" w:type="dxa"/>
            <w:shd w:val="clear" w:color="000000" w:fill="BDD7EE"/>
            <w:vAlign w:val="center"/>
            <w:hideMark/>
          </w:tcPr>
          <w:p w14:paraId="49D83AA9" w14:textId="77777777" w:rsidR="000C4AFF" w:rsidRPr="000C4AFF" w:rsidRDefault="000C4AFF" w:rsidP="000C4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802" w:type="dxa"/>
            <w:shd w:val="clear" w:color="000000" w:fill="BDD7EE"/>
            <w:vAlign w:val="center"/>
            <w:hideMark/>
          </w:tcPr>
          <w:p w14:paraId="074F3FFD" w14:textId="77777777" w:rsidR="000C4AFF" w:rsidRPr="000C4AFF" w:rsidRDefault="000C4AFF" w:rsidP="000C4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19" w:type="dxa"/>
            <w:shd w:val="clear" w:color="000000" w:fill="BDD7EE"/>
            <w:vAlign w:val="center"/>
            <w:hideMark/>
          </w:tcPr>
          <w:p w14:paraId="0656712E" w14:textId="77777777" w:rsidR="000C4AFF" w:rsidRPr="000C4AFF" w:rsidRDefault="000C4AFF" w:rsidP="000C4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0C4AFF" w:rsidRPr="000C4AFF" w14:paraId="3B26A93F" w14:textId="77777777" w:rsidTr="001C710A">
        <w:trPr>
          <w:trHeight w:val="283"/>
          <w:jc w:val="center"/>
        </w:trPr>
        <w:tc>
          <w:tcPr>
            <w:tcW w:w="4967" w:type="dxa"/>
            <w:shd w:val="clear" w:color="000000" w:fill="DDEBF7"/>
            <w:vAlign w:val="center"/>
            <w:hideMark/>
          </w:tcPr>
          <w:p w14:paraId="738F79CC" w14:textId="77777777" w:rsidR="000C4AFF" w:rsidRPr="000C4AFF" w:rsidRDefault="000C4AFF" w:rsidP="000C4A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041" w:type="dxa"/>
            <w:shd w:val="clear" w:color="000000" w:fill="DDEBF7"/>
            <w:vAlign w:val="center"/>
            <w:hideMark/>
          </w:tcPr>
          <w:p w14:paraId="62407C5F" w14:textId="77777777" w:rsidR="000C4AFF" w:rsidRPr="000C4AFF" w:rsidRDefault="000C4AFF" w:rsidP="000C4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27" w:type="dxa"/>
            <w:shd w:val="clear" w:color="000000" w:fill="DDEBF7"/>
            <w:vAlign w:val="center"/>
            <w:hideMark/>
          </w:tcPr>
          <w:p w14:paraId="5EF02CB0" w14:textId="77777777" w:rsidR="000C4AFF" w:rsidRPr="000C4AFF" w:rsidRDefault="000C4AFF" w:rsidP="000C4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041" w:type="dxa"/>
            <w:shd w:val="clear" w:color="000000" w:fill="DDEBF7"/>
            <w:vAlign w:val="center"/>
            <w:hideMark/>
          </w:tcPr>
          <w:p w14:paraId="3EEF5685" w14:textId="77777777" w:rsidR="000C4AFF" w:rsidRPr="000C4AFF" w:rsidRDefault="000C4AFF" w:rsidP="000C4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802" w:type="dxa"/>
            <w:shd w:val="clear" w:color="000000" w:fill="DDEBF7"/>
            <w:vAlign w:val="center"/>
            <w:hideMark/>
          </w:tcPr>
          <w:p w14:paraId="7ED70C72" w14:textId="77777777" w:rsidR="000C4AFF" w:rsidRPr="000C4AFF" w:rsidRDefault="000C4AFF" w:rsidP="000C4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1B057358" w14:textId="77777777" w:rsidR="000C4AFF" w:rsidRPr="000C4AFF" w:rsidRDefault="000C4AFF" w:rsidP="000C4A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F6A2D" w:rsidRPr="000C4AFF" w14:paraId="6CBA87FC" w14:textId="77777777" w:rsidTr="009F6A2D">
        <w:trPr>
          <w:trHeight w:val="283"/>
          <w:jc w:val="center"/>
        </w:trPr>
        <w:tc>
          <w:tcPr>
            <w:tcW w:w="4967" w:type="dxa"/>
            <w:shd w:val="clear" w:color="000000" w:fill="FFFFFF"/>
            <w:vAlign w:val="center"/>
            <w:hideMark/>
          </w:tcPr>
          <w:p w14:paraId="5537AB27" w14:textId="77777777" w:rsidR="009F6A2D" w:rsidRPr="000C4AFF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14:paraId="53ADEC21" w14:textId="77777777" w:rsidR="009F6A2D" w:rsidRPr="000C4AFF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14:paraId="52489C95" w14:textId="7564CC1A" w:rsidR="009F6A2D" w:rsidRPr="000C4AFF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F1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14:paraId="46ABDDDD" w14:textId="77777777" w:rsidR="009F6A2D" w:rsidRPr="000C4AFF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4A6B4A0A" w14:textId="77777777" w:rsidR="009F6A2D" w:rsidRPr="000C4AFF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1044AE9" w14:textId="0BEBE04F" w:rsidR="009F6A2D" w:rsidRPr="000C4AFF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31B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F6A2D" w:rsidRPr="000C4AFF" w14:paraId="6B1A70C7" w14:textId="77777777" w:rsidTr="009F6A2D">
        <w:trPr>
          <w:trHeight w:val="283"/>
          <w:jc w:val="center"/>
        </w:trPr>
        <w:tc>
          <w:tcPr>
            <w:tcW w:w="4967" w:type="dxa"/>
            <w:shd w:val="clear" w:color="000000" w:fill="FFFFFF"/>
            <w:vAlign w:val="center"/>
            <w:hideMark/>
          </w:tcPr>
          <w:p w14:paraId="4AFFC95B" w14:textId="77777777" w:rsidR="009F6A2D" w:rsidRPr="000C4AFF" w:rsidRDefault="009F6A2D" w:rsidP="009F6A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5443 Otplata glavnice primljenih kredita od tuzemnih kreditnih institucija izvan javnog sektora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14:paraId="51DC76CF" w14:textId="77777777" w:rsidR="009F6A2D" w:rsidRPr="000C4AFF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27" w:type="dxa"/>
            <w:shd w:val="clear" w:color="000000" w:fill="FFFFFF"/>
            <w:vAlign w:val="center"/>
            <w:hideMark/>
          </w:tcPr>
          <w:p w14:paraId="11C6B95F" w14:textId="3B8BA020" w:rsidR="009F6A2D" w:rsidRPr="000C4AFF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F19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14:paraId="0FC220A5" w14:textId="77777777" w:rsidR="009F6A2D" w:rsidRPr="000C4AFF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802" w:type="dxa"/>
            <w:shd w:val="clear" w:color="000000" w:fill="FFFFFF"/>
            <w:vAlign w:val="center"/>
            <w:hideMark/>
          </w:tcPr>
          <w:p w14:paraId="256B1716" w14:textId="77777777" w:rsidR="009F6A2D" w:rsidRPr="000C4AFF" w:rsidRDefault="009F6A2D" w:rsidP="009F6A2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C4AF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86162DD" w14:textId="3923657A" w:rsidR="009F6A2D" w:rsidRPr="000C4AFF" w:rsidRDefault="009F6A2D" w:rsidP="009F6A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31BF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5E0A4940" w14:textId="77777777" w:rsidR="007207E7" w:rsidRDefault="007207E7">
      <w:pPr>
        <w:spacing w:line="259" w:lineRule="auto"/>
      </w:pPr>
      <w:r>
        <w:br w:type="page"/>
      </w:r>
    </w:p>
    <w:p w14:paraId="2DCA2CF3" w14:textId="7F176BDC" w:rsidR="007207E7" w:rsidRPr="00754548" w:rsidRDefault="007207E7" w:rsidP="00EC6EAF">
      <w:pPr>
        <w:pStyle w:val="Naslov1"/>
      </w:pPr>
      <w:bookmarkStart w:id="9" w:name="_Toc224047542"/>
      <w:r w:rsidRPr="00E42978">
        <w:lastRenderedPageBreak/>
        <w:t>POSEBNI DIO</w:t>
      </w:r>
      <w:r w:rsidR="00DE520C">
        <w:t xml:space="preserve"> GODIŠNJEG IZVJEŠTAJA O IZVRŠENJU FINANCIJSKOG PLANA</w:t>
      </w:r>
      <w:bookmarkEnd w:id="9"/>
    </w:p>
    <w:p w14:paraId="02666D89" w14:textId="2C2A8CC3" w:rsidR="000B3A72" w:rsidRPr="008001FE" w:rsidRDefault="000B3A72" w:rsidP="003E6AB6">
      <w:pPr>
        <w:spacing w:after="0" w:line="240" w:lineRule="auto"/>
        <w:jc w:val="both"/>
        <w:rPr>
          <w:rFonts w:cstheme="minorHAnsi"/>
        </w:rPr>
      </w:pPr>
      <w:r w:rsidRPr="008001FE">
        <w:rPr>
          <w:rFonts w:cstheme="minorHAnsi"/>
        </w:rPr>
        <w:t xml:space="preserve">U Posebnom dijelu godišnjeg izvještaja o </w:t>
      </w:r>
      <w:r w:rsidR="00E75033" w:rsidRPr="008001FE">
        <w:rPr>
          <w:rFonts w:cstheme="minorHAnsi"/>
        </w:rPr>
        <w:t xml:space="preserve">izvršenju financijskog plana za </w:t>
      </w:r>
      <w:r w:rsidR="00E75033" w:rsidRPr="008001FE">
        <w:t>202</w:t>
      </w:r>
      <w:r w:rsidR="00406CAF">
        <w:t>5</w:t>
      </w:r>
      <w:r w:rsidR="00E75033" w:rsidRPr="008001FE">
        <w:t>. godin</w:t>
      </w:r>
      <w:r w:rsidR="008001FE" w:rsidRPr="008001FE">
        <w:t>u</w:t>
      </w:r>
      <w:r w:rsidR="00E75033" w:rsidRPr="008001FE">
        <w:rPr>
          <w:rFonts w:cstheme="minorHAnsi"/>
        </w:rPr>
        <w:t xml:space="preserve"> </w:t>
      </w:r>
      <w:r w:rsidR="00575DD4" w:rsidRPr="008001FE">
        <w:rPr>
          <w:rFonts w:cstheme="minorHAnsi"/>
        </w:rPr>
        <w:t>izvršeni rashodi</w:t>
      </w:r>
      <w:r w:rsidR="00D3413A" w:rsidRPr="008001FE">
        <w:rPr>
          <w:rFonts w:cstheme="minorHAnsi"/>
        </w:rPr>
        <w:t xml:space="preserve"> i izdaci</w:t>
      </w:r>
      <w:r w:rsidR="00575DD4" w:rsidRPr="008001FE">
        <w:rPr>
          <w:rFonts w:cstheme="minorHAnsi"/>
        </w:rPr>
        <w:t xml:space="preserve"> </w:t>
      </w:r>
      <w:r w:rsidR="008001FE" w:rsidRPr="008001FE">
        <w:rPr>
          <w:rFonts w:cstheme="minorHAnsi"/>
        </w:rPr>
        <w:t>iskazani su po izvorima financiranja i ekonomskoj klasifikaciji te su raspoređeni u program</w:t>
      </w:r>
      <w:r w:rsidR="00812EAC">
        <w:rPr>
          <w:rFonts w:cstheme="minorHAnsi"/>
        </w:rPr>
        <w:t>e koji se sastoje od aktivnosti</w:t>
      </w:r>
      <w:r w:rsidR="008001FE" w:rsidRPr="008001FE">
        <w:rPr>
          <w:rFonts w:cstheme="minorHAnsi"/>
        </w:rPr>
        <w:t>:</w:t>
      </w:r>
    </w:p>
    <w:p w14:paraId="4144A9AB" w14:textId="74B0F201" w:rsidR="00C8340A" w:rsidRDefault="00240CF7" w:rsidP="00EC6EAF">
      <w:pPr>
        <w:pStyle w:val="Naslov2"/>
      </w:pPr>
      <w:bookmarkStart w:id="10" w:name="_Toc224047543"/>
      <w:r>
        <w:t>IZVJEŠTAJ O IZVRŠENJU</w:t>
      </w:r>
      <w:r w:rsidRPr="008001FE">
        <w:t xml:space="preserve"> </w:t>
      </w:r>
      <w:r>
        <w:t xml:space="preserve">FINANCIJSKOG PLANA </w:t>
      </w:r>
      <w:r w:rsidRPr="008001FE">
        <w:t>PO PROGRAMSKOJ KLASIFIKACIJI</w:t>
      </w:r>
      <w:bookmarkEnd w:id="10"/>
      <w:r w:rsidRPr="008001FE">
        <w:t xml:space="preserve"> </w:t>
      </w:r>
    </w:p>
    <w:tbl>
      <w:tblPr>
        <w:tblW w:w="9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6"/>
        <w:gridCol w:w="1276"/>
        <w:gridCol w:w="1276"/>
        <w:gridCol w:w="719"/>
      </w:tblGrid>
      <w:tr w:rsidR="001C710A" w:rsidRPr="001C710A" w14:paraId="7B2C7D87" w14:textId="77777777" w:rsidTr="001C710A">
        <w:trPr>
          <w:trHeight w:val="283"/>
          <w:tblHeader/>
          <w:jc w:val="center"/>
        </w:trPr>
        <w:tc>
          <w:tcPr>
            <w:tcW w:w="6526" w:type="dxa"/>
            <w:shd w:val="clear" w:color="000000" w:fill="DDEBF7"/>
            <w:noWrap/>
            <w:vAlign w:val="center"/>
            <w:hideMark/>
          </w:tcPr>
          <w:p w14:paraId="351683DD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Brojčana oznaka i naziv računa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3BCD975E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</w:t>
            </w: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5934C212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58060CF8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3./2. </w:t>
            </w:r>
          </w:p>
        </w:tc>
      </w:tr>
      <w:tr w:rsidR="001C710A" w:rsidRPr="001C710A" w14:paraId="06B23F68" w14:textId="77777777" w:rsidTr="00D04362">
        <w:trPr>
          <w:trHeight w:val="64"/>
          <w:tblHeader/>
          <w:jc w:val="center"/>
        </w:trPr>
        <w:tc>
          <w:tcPr>
            <w:tcW w:w="6526" w:type="dxa"/>
            <w:shd w:val="clear" w:color="000000" w:fill="DDEBF7"/>
            <w:noWrap/>
            <w:vAlign w:val="center"/>
            <w:hideMark/>
          </w:tcPr>
          <w:p w14:paraId="74D89269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76" w:type="dxa"/>
            <w:shd w:val="clear" w:color="000000" w:fill="DDEBF7"/>
            <w:noWrap/>
            <w:vAlign w:val="center"/>
            <w:hideMark/>
          </w:tcPr>
          <w:p w14:paraId="3375B56A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45BD734E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719" w:type="dxa"/>
            <w:shd w:val="clear" w:color="000000" w:fill="DDEBF7"/>
            <w:noWrap/>
            <w:vAlign w:val="center"/>
            <w:hideMark/>
          </w:tcPr>
          <w:p w14:paraId="0FFD6256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</w:tr>
      <w:tr w:rsidR="001C710A" w:rsidRPr="001C710A" w14:paraId="1DBBD2E7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9BC2E6"/>
            <w:vAlign w:val="center"/>
            <w:hideMark/>
          </w:tcPr>
          <w:p w14:paraId="7F373B2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SVEUKUPNO RASHODI I IZDACI</w:t>
            </w:r>
          </w:p>
        </w:tc>
        <w:tc>
          <w:tcPr>
            <w:tcW w:w="1276" w:type="dxa"/>
            <w:shd w:val="clear" w:color="000000" w:fill="9BC2E6"/>
            <w:vAlign w:val="center"/>
            <w:hideMark/>
          </w:tcPr>
          <w:p w14:paraId="04E5B7E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20.032.861,59</w:t>
            </w:r>
          </w:p>
        </w:tc>
        <w:tc>
          <w:tcPr>
            <w:tcW w:w="1276" w:type="dxa"/>
            <w:shd w:val="clear" w:color="000000" w:fill="9BC2E6"/>
            <w:vAlign w:val="center"/>
            <w:hideMark/>
          </w:tcPr>
          <w:p w14:paraId="7BCD570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16.416.709,29</w:t>
            </w:r>
          </w:p>
        </w:tc>
        <w:tc>
          <w:tcPr>
            <w:tcW w:w="719" w:type="dxa"/>
            <w:shd w:val="clear" w:color="000000" w:fill="9BC2E6"/>
            <w:vAlign w:val="center"/>
            <w:hideMark/>
          </w:tcPr>
          <w:p w14:paraId="0F8FE11D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81,95</w:t>
            </w:r>
          </w:p>
        </w:tc>
      </w:tr>
      <w:tr w:rsidR="001C710A" w:rsidRPr="001C710A" w14:paraId="0397C070" w14:textId="77777777" w:rsidTr="00006BBF">
        <w:trPr>
          <w:trHeight w:val="283"/>
          <w:jc w:val="center"/>
        </w:trPr>
        <w:tc>
          <w:tcPr>
            <w:tcW w:w="6526" w:type="dxa"/>
            <w:shd w:val="clear" w:color="000000" w:fill="9BC2E6"/>
            <w:noWrap/>
            <w:vAlign w:val="center"/>
            <w:hideMark/>
          </w:tcPr>
          <w:p w14:paraId="4996B8B1" w14:textId="77777777" w:rsidR="001C710A" w:rsidRPr="001C710A" w:rsidRDefault="001C710A" w:rsidP="00006B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Uprava: 9901 ŽUPANIJSKA UPRAVA ZA CESTE PRIMORSKO-GORANSKE ŽUPANIJE</w:t>
            </w:r>
          </w:p>
        </w:tc>
        <w:tc>
          <w:tcPr>
            <w:tcW w:w="1276" w:type="dxa"/>
            <w:shd w:val="clear" w:color="000000" w:fill="9BC2E6"/>
            <w:vAlign w:val="center"/>
            <w:hideMark/>
          </w:tcPr>
          <w:p w14:paraId="363830C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20.032.861,59</w:t>
            </w:r>
          </w:p>
        </w:tc>
        <w:tc>
          <w:tcPr>
            <w:tcW w:w="1276" w:type="dxa"/>
            <w:shd w:val="clear" w:color="000000" w:fill="9BC2E6"/>
            <w:vAlign w:val="center"/>
            <w:hideMark/>
          </w:tcPr>
          <w:p w14:paraId="24B4DB6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16.416.709,29</w:t>
            </w:r>
          </w:p>
        </w:tc>
        <w:tc>
          <w:tcPr>
            <w:tcW w:w="719" w:type="dxa"/>
            <w:shd w:val="clear" w:color="000000" w:fill="9BC2E6"/>
            <w:vAlign w:val="center"/>
            <w:hideMark/>
          </w:tcPr>
          <w:p w14:paraId="4952ABDB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81,95</w:t>
            </w:r>
          </w:p>
        </w:tc>
      </w:tr>
      <w:tr w:rsidR="001C710A" w:rsidRPr="001C710A" w14:paraId="03BB5AC1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BDD7EE"/>
            <w:vAlign w:val="center"/>
            <w:hideMark/>
          </w:tcPr>
          <w:p w14:paraId="6FBE2DED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Program: 1000 RASHODI UPRAVE I POSLOVANJA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6DF4C18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2.771.562,40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61B0349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2.483.170,47</w:t>
            </w:r>
          </w:p>
        </w:tc>
        <w:tc>
          <w:tcPr>
            <w:tcW w:w="719" w:type="dxa"/>
            <w:shd w:val="clear" w:color="000000" w:fill="BDD7EE"/>
            <w:vAlign w:val="center"/>
            <w:hideMark/>
          </w:tcPr>
          <w:p w14:paraId="3FDFB1F8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89,59</w:t>
            </w:r>
          </w:p>
        </w:tc>
      </w:tr>
      <w:tr w:rsidR="001C710A" w:rsidRPr="001C710A" w14:paraId="1EFBA303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4595418E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100002 MATERIJALNI RASHODI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0A00BB3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2.703.235,62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591A92D4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2.435.076,34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6B7FC028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90,08</w:t>
            </w:r>
          </w:p>
        </w:tc>
      </w:tr>
      <w:tr w:rsidR="001C710A" w:rsidRPr="001C710A" w14:paraId="2F19BD0A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6A973E5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19 Opći prihodi i primici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CFEED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48.735,25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09542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34.555,59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9EDB3DA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70,90</w:t>
            </w:r>
          </w:p>
        </w:tc>
      </w:tr>
      <w:tr w:rsidR="001C710A" w:rsidRPr="001C710A" w14:paraId="2DD6F985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975F271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1911 Prihodi od financijske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E2894F" w14:textId="6A0CFCB3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BA4E4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4.707,42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B59C493" w14:textId="0F1809EE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4B6B7405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B2F2D0C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BDFF50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11.430,71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C72AC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2.660,93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8C151CA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23,28</w:t>
            </w:r>
          </w:p>
        </w:tc>
      </w:tr>
      <w:tr w:rsidR="002B7236" w:rsidRPr="001C710A" w14:paraId="762B0AC6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44EC226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7B1FF2" w14:textId="33C58F1B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A854F5E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742BBCB" w14:textId="38B9BBE6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558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714E5FF7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C493853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3296 Troškovi sudskih postupaka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02C5A8" w14:textId="21E08209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65A177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160,93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6F00720" w14:textId="2C72142E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5585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D67116E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6C484FC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2E93F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EE103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2.046,49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4F1DAE3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81,86</w:t>
            </w:r>
          </w:p>
        </w:tc>
      </w:tr>
      <w:tr w:rsidR="001C710A" w:rsidRPr="001C710A" w14:paraId="36C140D0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6147011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3431 Bankarske usluge i usluge platnog prometa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1C247A" w14:textId="3CE9458C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B0302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2.046,49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D349EEA" w14:textId="26A59413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0CBAFBBE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EE0422E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1912 Ostali nespomenuti prihodi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57B7A6" w14:textId="3E8ABE36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2D4C7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1.543,63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0DA960A" w14:textId="7AC3CF75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4E54760B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C58501B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0622D4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730524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1.543,63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0992605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23,75</w:t>
            </w:r>
          </w:p>
        </w:tc>
      </w:tr>
      <w:tr w:rsidR="002B7236" w:rsidRPr="001C710A" w14:paraId="46817993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94150E0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C862C9" w14:textId="6D8EFB58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86B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82A8D1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1.543,63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A930DB4" w14:textId="6336FAA7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16E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25E907ED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021C54E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3296 Troškovi sudskih postupaka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9B376C" w14:textId="2CDF140C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86B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FAA0E44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9F20CFD" w14:textId="1EE3DD18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16EE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7D3EA765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7E1C38B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1981 Prenesena sredstva - Opći prihodi i primici - ŽUC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17B165" w14:textId="58DD535D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FD39F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28.304,54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BA4D2F9" w14:textId="6147E8C7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6F98D520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7A8C127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06F1E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10.800,00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7BD52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10.800,00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AAC507E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C710A" w:rsidRPr="001C710A" w14:paraId="131542AD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5352748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3296 Troškovi sudskih postupaka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30DC54" w14:textId="0510E389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81874A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10.800,00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82FF6A0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</w:p>
        </w:tc>
      </w:tr>
      <w:tr w:rsidR="001C710A" w:rsidRPr="001C710A" w14:paraId="56A2E2CF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1ABA590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FB606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17.504,54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AF0AA4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17.504,54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43815A2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C710A" w:rsidRPr="001C710A" w14:paraId="3024C684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1E3FBD0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3831 Naknade šteta pravnim i fizičkim osobama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402185" w14:textId="73F5A3B5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52C5A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17.504,54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F76804C" w14:textId="72C10C13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A024C06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DE086CE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A03FE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2.636.140,37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C1AF6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2.399.160,75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8720A50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91,01</w:t>
            </w:r>
          </w:p>
        </w:tc>
      </w:tr>
      <w:tr w:rsidR="001C710A" w:rsidRPr="001C710A" w14:paraId="2F2AF9E7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52B350E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9F40BD" w14:textId="098BDBBA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8366A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2.200.320,19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1060643" w14:textId="251BA103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16CE3E8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EC1EA49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45C46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823.210,00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8D04C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791.589,81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FFE14B3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96,16</w:t>
            </w:r>
          </w:p>
        </w:tc>
      </w:tr>
      <w:tr w:rsidR="002B7236" w:rsidRPr="001C710A" w14:paraId="27E5A3A9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96FFCB2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3111 Plaće za redovan rad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3E0217" w14:textId="23A325BE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270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E32CDB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620.749,19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F3CBB2F" w14:textId="56927493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755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668CACE4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FC45CF8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3121 Ostali rashodi za zaposlene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2F5004" w14:textId="207B8CDA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270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11D6C98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66.883,46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0DBAD1A" w14:textId="481F54D3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755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53F32350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DD18217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3132 Doprinosi za obvezno zdravstveno osiguranje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788F56" w14:textId="649BEB81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270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1FAE10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103.957,16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7654ACC" w14:textId="039449DA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755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05B8DD35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19E9E89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3133 Doprinosi za obvezno osiguranje u slučaju nezaposlenosti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34CBE2" w14:textId="2FA20104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270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7E55F8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2B50620" w14:textId="7732CBCA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7559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A931803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00AFD18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9C361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663.831,20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D40F4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598.262,80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95B31D2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90,12</w:t>
            </w:r>
          </w:p>
        </w:tc>
      </w:tr>
      <w:tr w:rsidR="002B7236" w:rsidRPr="001C710A" w14:paraId="2DE72E72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80CF2F3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D10F2C" w14:textId="3A8944A7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4C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3FDBFB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AE71396" w14:textId="636512A6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978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70115AC9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8ED93CC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3212 Naknade za prijevoz, za rad na terenu i odvojeni život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4BBE6A" w14:textId="1FBCC532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4C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DD4E963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16.523,40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C0A3EA0" w14:textId="2BAB6737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978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5810D2EC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4D4C8FA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2F17AE" w14:textId="3742FE67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4C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AC4786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340CD4D" w14:textId="3C2CFA05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978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57C6A1EA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8787A4F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3221 Uredski materijal i ostali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F8E29E" w14:textId="009DBC4F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4C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71AB0E6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9.170,43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60137CD" w14:textId="6D0DE4F1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978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122D677E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A3E842B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3223 Energija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B61509E" w14:textId="4CEFF912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4C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5EA5EC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13.188,61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D10377D" w14:textId="43910A9A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978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07F1BD0C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2E7FF46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3224 Materijal i dijelovi za tekuće i investicijsko održavanje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390A9A" w14:textId="181F1F8B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4C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589E9F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2,79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ECA0A15" w14:textId="6366C6AA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978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7532BEAA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FEE1AAC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3225 Sitni inventar i auto gume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8223DB" w14:textId="7D9C8E87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4C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A66D90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1.921,49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6C60176" w14:textId="50E4DDDD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978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7F5FAF97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6C985CE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3231 Usluge telefona, interneta, pošte i prijevoza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1F0806" w14:textId="0BF6EC46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4C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83C65C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10.821,71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35DC51D" w14:textId="29F98B1C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978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24E7B5BA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4E02DB1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45A043" w14:textId="2B04F8DE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4C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2216B0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16.774,54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7CD2A97" w14:textId="5D4EC6DD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978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5C4E0F7E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833765C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3233 Usluge promidžbe i informiranja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50A6CD" w14:textId="486DE378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4C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1BD838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29.817,37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542BCB4" w14:textId="75DDC5CA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978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01DB1018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9B54744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3234 Komunalne usluge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7BC428" w14:textId="63D01B60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4C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21252B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71.468,69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79BDF88" w14:textId="25B8951B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978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6D3FB757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C051839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3235 Zakupnine i najamnine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7F22B0" w14:textId="28D2DFED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54C3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62C4ED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3.720,00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A29B634" w14:textId="7C91B562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9781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345F76C1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0696543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3236 Zdravstvene i veterinarske usluge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5EA178" w14:textId="09BCB095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B4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65422D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5.851,00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2A87A10" w14:textId="0AF5D024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362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67E69D32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D5B93C4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3237 Intelektualne i osobne usluge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40B53F" w14:textId="6BAD761C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B4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761312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98.808,84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AC66392" w14:textId="653CC81C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362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723DBC20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5297A1B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3238 Računalne usluge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3E29B5" w14:textId="208981E8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B4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D30508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32.195,36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474DC8B" w14:textId="1052DBA1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362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29A32DA2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5670C97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3239 Ostale usluge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5AC52A" w14:textId="586D4F51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B4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4A9A99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242.547,50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F19BE37" w14:textId="537E6E6C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362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7649EDAD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41A57AC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A247B0" w14:textId="3CF59A52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B4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A4FB7C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5.633,98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950A801" w14:textId="3ED90621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362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67DB3843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D2FF259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3292 Premije osiguranja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70F469" w14:textId="440C12A5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B4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5D1CD7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7.459,71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2281C87" w14:textId="21E39CD1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362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7CA8EFFD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00A5EA5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DDC6E6" w14:textId="4DDDB08E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B4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2408B2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4.932,96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46E75C5" w14:textId="105FC410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362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01285BFF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80BAC8D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3294 Članarine i norme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E78FEF" w14:textId="26EF42AF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B4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889C7A0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8.928,58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8BC0C16" w14:textId="789EFC82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362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4994251B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45DFB5D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80DB55" w14:textId="3523564E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B4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6B01DB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A333564" w14:textId="5FE3C5F4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362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00FF987E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360463D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736C4D" w14:textId="1190AE32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B4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0E8D27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3.995,84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B4A0070" w14:textId="3F630BDD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362D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46B0D3CB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889B80B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66668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870.400,00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77F08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803.862,43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15360AF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92,36</w:t>
            </w:r>
          </w:p>
        </w:tc>
      </w:tr>
      <w:tr w:rsidR="001C710A" w:rsidRPr="001C710A" w14:paraId="4568DB9F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8B9F1C2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3631 Tekuće pomoći drugom proračunu i izvanproračunskim korisnicima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7C5F3D" w14:textId="55CAFA7F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5E971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803.862,43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DD7A886" w14:textId="03B2D83C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009006BA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2BE2C6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BACD8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73.495,46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6C7B6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6.605,15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5C70ECF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8,99</w:t>
            </w:r>
          </w:p>
        </w:tc>
      </w:tr>
      <w:tr w:rsidR="002B7236" w:rsidRPr="001C710A" w14:paraId="0EDDE378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05EB3C9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3831 Naknade šteta pravnim i fizičkim osobama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C23F1EC" w14:textId="38D96A47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E72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04D026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6.605,15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5B2290F" w14:textId="29FDEC6A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236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772F90E5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16C1CDA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3835 Ostale kazne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9BC21E" w14:textId="29C1CC14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E72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172DA89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E3660E2" w14:textId="3A26F5DC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2364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329FBF0C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6D6A1E1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4913 Prihodi za posebne namjene - naknada za korištenje cestovnog zemljišta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0D2090" w14:textId="5F19AB0C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A6F67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39.972,07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54A68B5" w14:textId="526AC4ED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D28EBE8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570FA4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3EB4E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46.335,22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B01CA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39.972,07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948E940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86,27</w:t>
            </w:r>
          </w:p>
        </w:tc>
      </w:tr>
      <w:tr w:rsidR="002B7236" w:rsidRPr="001C710A" w14:paraId="2A5E07D8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5EEEAD6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B3FF7C" w14:textId="3B7C02AD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04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5D3FE5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2.933,00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968F3CE" w14:textId="32854E75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43B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02D204C1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45FB36C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731ACB" w14:textId="7B27DE35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04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D7883B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1.567,72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F9218E5" w14:textId="3D26CE34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43B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76079BBD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E0D0162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3235 Zakupnine i najamnine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FAD8F4" w14:textId="4FFB3D87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04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61FD02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12.334,97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F33EC93" w14:textId="5DF2C514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43B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36A175AE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CEEA7C9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3239 Ostale usluge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A782E5" w14:textId="2AB8F5CD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04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55397F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22.136,38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B8BA0B7" w14:textId="4566B059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43B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2C184E86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B2C6EF2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A938D8" w14:textId="51EF158C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04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F684EB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C560C08" w14:textId="76B10DD9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43B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51E3B893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B892653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3296 Troškovi sudskih postupaka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90081C" w14:textId="00838A49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04AB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93D85E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1E0387C" w14:textId="5653980E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43B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4047DE07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82CBCD7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4981 Prenesena sredstva - prihodi za posebne namjene - izvanproračunski korisnici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554AFD" w14:textId="711AD333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2A9F4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158.868,49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42E538B" w14:textId="063C8BB5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4551EEC5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01D86E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CD86B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109.781,67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B5EDC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109.781,67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870AAB6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B7236" w:rsidRPr="001C710A" w14:paraId="51EEC1D2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341CF8F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3111 Plaće za redovan rad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C4928A" w14:textId="23910CA9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B79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36A010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93.798,19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8A736D1" w14:textId="6D39898E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1D5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0078FB61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F8E8395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3132 Doprinosi za obvezno zdravstveno osiguranje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95AD35B" w14:textId="1389D7B9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B79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6B16F0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14.643,07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35BB699" w14:textId="7E8C095F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1D5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36514697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C506C04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3133 Doprinosi za obvezno osiguranje u slučaju nezaposlenosti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4C9CA2" w14:textId="7BF2E055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B795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A21ED96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1.340,41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2A45B59" w14:textId="7284D2B5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81D5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6C6BA079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70DDFD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51959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49.086,82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E4DB8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49.086,82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4C6DF26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C710A" w:rsidRPr="001C710A" w14:paraId="502ECD62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7F842D5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3433 Zatezne kamate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28CF68" w14:textId="2F9504CE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A97D2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49.086,82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3334019" w14:textId="60E382E1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4EF197A3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E89FB53" w14:textId="6B6A5102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79 Priho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di od prodaje ili zamjene nefinancijske imovine i naknade šteta</w:t>
            </w: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s naslova osiguranja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7B670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18.360,00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2B98F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1.360,00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698CCB2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7,41</w:t>
            </w:r>
          </w:p>
        </w:tc>
      </w:tr>
      <w:tr w:rsidR="001C710A" w:rsidRPr="001C710A" w14:paraId="19283D00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553334A" w14:textId="6E574641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Izvor: 7911 Prihodi od prodaje ili zamjene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nefinancijske imovine i naknade šteta</w:t>
            </w: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s naslova osiguranja - ŽUC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E36704" w14:textId="3040C503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F3C2B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1.360,00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381E483" w14:textId="137414DB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A81FADC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7B8E073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875F2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59A6D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86374BA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5,56</w:t>
            </w:r>
          </w:p>
        </w:tc>
      </w:tr>
      <w:tr w:rsidR="001C710A" w:rsidRPr="001C710A" w14:paraId="1189C172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78183FF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3831 Naknade šteta pravnim i fizičkim osobama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EB17859" w14:textId="02E62A48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62B65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AF9F06F" w14:textId="229FA0AB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76B1478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CCEF446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7E14A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EBCC0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DFFBFBA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C710A" w:rsidRPr="001C710A" w14:paraId="35DB226D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1FD0787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4221 Uredska oprema i namještaj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1687E7" w14:textId="1183DC77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689C2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23BA950" w14:textId="1BD70320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6F8131BE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32C48A90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100003 FINANCIJSKI RASHODI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39047D6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7C4C5A2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6.190,65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182C1DD5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61,91</w:t>
            </w:r>
          </w:p>
        </w:tc>
      </w:tr>
      <w:tr w:rsidR="001C710A" w:rsidRPr="001C710A" w14:paraId="7E5FCECE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A5E3D29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19 Opći prihodi i primici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5D208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BB6356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6.190,65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82AD5FA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61,91</w:t>
            </w:r>
          </w:p>
        </w:tc>
      </w:tr>
      <w:tr w:rsidR="001C710A" w:rsidRPr="001C710A" w14:paraId="52F98558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C8D9FC2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1981 Prenesena sredstva - Opći prihodi i primici - ŽUC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36B71C" w14:textId="24D7E66E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1B7AA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6.190,65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F3D051A" w14:textId="38EBC1DD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44A7FC3F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97D6513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A9B572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46B576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6.190,65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505A56D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61,91</w:t>
            </w:r>
          </w:p>
        </w:tc>
      </w:tr>
      <w:tr w:rsidR="001C710A" w:rsidRPr="001C710A" w14:paraId="2490D4AA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B84D8D2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3433 Zatezne kamate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7EEB9F" w14:textId="0AAD887E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220C0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6.190,65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73342A8" w14:textId="3E59F349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0F271466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633B48FC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100005 RASHODI ZA NABAVU NEFINANCIJSKE IMOVINE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746BD37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58.326,78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679CA05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41.903,48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7EBF6232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71,84</w:t>
            </w:r>
          </w:p>
        </w:tc>
      </w:tr>
      <w:tr w:rsidR="001C710A" w:rsidRPr="001C710A" w14:paraId="186C60BA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94646D2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17E83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45.538,92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345E7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37.641,12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C190F49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82,66</w:t>
            </w:r>
          </w:p>
        </w:tc>
      </w:tr>
      <w:tr w:rsidR="001C710A" w:rsidRPr="001C710A" w14:paraId="0A548664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0C78721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97C25F" w14:textId="0C20934F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0897F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37.641,12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2BBD12D" w14:textId="55C24676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3C6EB0F2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7B4520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BC2DD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40.538,92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3658C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37.641,12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8F8D0CA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92,85</w:t>
            </w:r>
          </w:p>
        </w:tc>
      </w:tr>
      <w:tr w:rsidR="002B7236" w:rsidRPr="001C710A" w14:paraId="2B700BA0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D870C67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4221 Uredska oprema i namještaj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0F3B91D" w14:textId="6E3E6E90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7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116460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8.460,20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344A4B8" w14:textId="1B8E5928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F5F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0B74FA9A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47AB872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4222 Komunikacijska oprema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028D2E" w14:textId="4ECC13C1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7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EF1E83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932,00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7726AB8" w14:textId="5BF5AFC8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F5F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795AFF23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1BE8CAF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4223 Oprema za održavanje i zaštitu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27EBE5" w14:textId="62BE1439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7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4916D42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A19583D" w14:textId="7F0FC6FB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F5F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37F59597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2FADFE5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4231 Prijevozna sredstva u cestovnom prometu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6C2989" w14:textId="6A41AC2E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E7DE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824257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28.248,92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537C7B7" w14:textId="23B61732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F5F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38EC9B96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378A116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4913 Prihodi za posebne namjene - naknada za korištenje cestovnog zemljišta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C8C407" w14:textId="79AC3AAD" w:rsidR="002B7236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14FDC3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A57E4AE" w14:textId="144F4EC2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F5F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0A6B8CD3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819A20E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A6AE7C0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498379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94580D0" w14:textId="6110E7CC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F5F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B7236" w:rsidRPr="001C710A" w14:paraId="4B6BF919" w14:textId="77777777" w:rsidTr="002B7236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B062549" w14:textId="77777777" w:rsidR="002B7236" w:rsidRPr="001C710A" w:rsidRDefault="002B7236" w:rsidP="002B7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4111 Zemljište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D148EC" w14:textId="74774CAE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8E752B0" w14:textId="77777777" w:rsidR="002B7236" w:rsidRPr="001C710A" w:rsidRDefault="002B7236" w:rsidP="002B723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D5BF251" w14:textId="7891F873" w:rsidR="002B7236" w:rsidRPr="001C710A" w:rsidRDefault="002B7236" w:rsidP="002B72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F5F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38020A0F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8400EAD" w14:textId="573E8AEE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Izvor: 79 Prihodi od prodaje ili zamjene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nefinancijske imovine i naknade šteta</w:t>
            </w: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s naslova osiguranja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7FA71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12.787,86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3ADA1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4.262,36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4CD033D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33,33</w:t>
            </w:r>
          </w:p>
        </w:tc>
      </w:tr>
      <w:tr w:rsidR="001C710A" w:rsidRPr="001C710A" w14:paraId="3A633DBD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148C58E" w14:textId="5474654E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Izvor: 7911 Prihodi od prodaje ili zamjene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nefinancijske imovine i naknade šteta</w:t>
            </w: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s naslova osiguranja - ŽUC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CFA5D7" w14:textId="309833A5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19E6F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3.225,58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8BF9FD4" w14:textId="1DB05D7F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348A67D9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C445E92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ECB18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11.751,08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633B2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3.225,58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DE0CFA2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27,45</w:t>
            </w:r>
          </w:p>
        </w:tc>
      </w:tr>
      <w:tr w:rsidR="001C710A" w:rsidRPr="001C710A" w14:paraId="7DA69991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CBEBC2F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4231 Prijevozna sredstva u cestovnom prometu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46346E" w14:textId="1FC5A59A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566C9A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3.225,58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A91278A" w14:textId="0A82D241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0C878235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B5E57F8" w14:textId="2C18C9F6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7981 Prene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sena sredstva - prihodi od prodaje</w:t>
            </w: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ili zamjene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nefinancijske imovine i naknade šteta</w:t>
            </w: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 naslova osiguranja</w:t>
            </w: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61AE84" w14:textId="124D2FAF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70EDA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1.036,78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25AB2BB" w14:textId="2D514601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5A3F83C2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59AEFA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E9206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1.036,78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18BF7F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1.036,78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1B57B13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C710A" w:rsidRPr="001C710A" w14:paraId="0BB207A0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1AE9898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4221 Uredska oprema i namještaj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20E75F" w14:textId="7C6EB81E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358ED6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1.036,78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5990DC4" w14:textId="0CAAAB85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6FF399D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BDD7EE"/>
            <w:vAlign w:val="center"/>
            <w:hideMark/>
          </w:tcPr>
          <w:p w14:paraId="47DB3C7F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Program: 1001 IZDACI RASHODI PO OSNOVI ZADUŽENJA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40ACB6E4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423.184,47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3CF1321A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423.184,47</w:t>
            </w:r>
          </w:p>
        </w:tc>
        <w:tc>
          <w:tcPr>
            <w:tcW w:w="719" w:type="dxa"/>
            <w:shd w:val="clear" w:color="000000" w:fill="BDD7EE"/>
            <w:vAlign w:val="center"/>
            <w:hideMark/>
          </w:tcPr>
          <w:p w14:paraId="0C1BF128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C710A" w:rsidRPr="001C710A" w14:paraId="6287F097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28520AB6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100101 IZDACI I RASHODI ZA OTPLATU KREDITA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6E71B75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423.184,47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1B92780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423.184,47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5D13FAC3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C710A" w:rsidRPr="001C710A" w14:paraId="74E20036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425C453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E9541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423.184,47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4C733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423.184,47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8EDC66D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C710A" w:rsidRPr="001C710A" w14:paraId="46A5882E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D2F15CD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640874" w14:textId="2AD30381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A51FB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423.184,47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3BE4D3A" w14:textId="62E9F80D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41991561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7662BF2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B0B79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23.184,47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7FB2B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23.184,47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8F7B2F4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C710A" w:rsidRPr="001C710A" w14:paraId="0E8361C2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8D602CE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3423 Kamate za primljene kredite i zajmove od kreditnih i ostalih financijskih institucija izvan javnog sektora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366723" w14:textId="3E9A596D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1F7C7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23.184,47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9F59C8B" w14:textId="5420E2D3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7235A461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14A111D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7F63D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272FCA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D6120D6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C710A" w:rsidRPr="001C710A" w14:paraId="3F3A6C2E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EF019FF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5443 Otplata glavnice primljenih kredita od tuzemnih kreditnih institucija izvan javnog sektora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220FC0" w14:textId="42656E42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C2F07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E91175F" w14:textId="5EFE12B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3350F4EE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BDD7EE"/>
            <w:vAlign w:val="center"/>
            <w:hideMark/>
          </w:tcPr>
          <w:p w14:paraId="3F55044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Program: 1002 REDOVITO ODRŽAVANJE CESTA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3B92741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6.894.900,01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7C7C245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6.697.877,27</w:t>
            </w:r>
          </w:p>
        </w:tc>
        <w:tc>
          <w:tcPr>
            <w:tcW w:w="719" w:type="dxa"/>
            <w:shd w:val="clear" w:color="000000" w:fill="BDD7EE"/>
            <w:vAlign w:val="center"/>
            <w:hideMark/>
          </w:tcPr>
          <w:p w14:paraId="418C02B7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97,14</w:t>
            </w:r>
          </w:p>
        </w:tc>
      </w:tr>
      <w:tr w:rsidR="001C710A" w:rsidRPr="001C710A" w14:paraId="6899BF23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43D12F1E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100201 NADZIRANJE I PREGLED CESTA I OBJEKTA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4B0977E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435.009,42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4548AE6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437.871,40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1056AF8F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100,66</w:t>
            </w:r>
          </w:p>
        </w:tc>
      </w:tr>
      <w:tr w:rsidR="001C710A" w:rsidRPr="001C710A" w14:paraId="545D6989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D4698C6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5FD5D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435.009,42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9AB6BA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437.871,40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D60C475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100,66</w:t>
            </w:r>
          </w:p>
        </w:tc>
      </w:tr>
      <w:tr w:rsidR="001C710A" w:rsidRPr="001C710A" w14:paraId="1B5E3A3E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EA68CFB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7B3559" w14:textId="1361CE46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BA921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437.871,40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3825E08" w14:textId="068516F4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599567A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8ED0E21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43C4E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435.009,42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E5C59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437.871,40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4DAB689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100,66</w:t>
            </w:r>
          </w:p>
        </w:tc>
      </w:tr>
      <w:tr w:rsidR="001C710A" w:rsidRPr="001C710A" w14:paraId="7AEB0CA8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6973C59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F2D462" w14:textId="4843B4A4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CA9A5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437.871,40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F8F638E" w14:textId="4727DAB4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329CE5CF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26519393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100202 ODRŽAVANJE KOLNIKA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229742B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1.035.169,20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1FE68DC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1.186.912,90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6AD96FA4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114,66</w:t>
            </w:r>
          </w:p>
        </w:tc>
      </w:tr>
      <w:tr w:rsidR="001C710A" w:rsidRPr="001C710A" w14:paraId="7618C51D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828FA29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11C71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1.035.169,20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00EBEA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1.186.912,90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0B4E097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114,66</w:t>
            </w:r>
          </w:p>
        </w:tc>
      </w:tr>
      <w:tr w:rsidR="001C710A" w:rsidRPr="001C710A" w14:paraId="5D883EF6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F4ED595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648C44" w14:textId="1386A4B2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66166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1.186.912,90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17701AE" w14:textId="6C5EAD3A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51A160E3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EE43989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801244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1.035.169,20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4977D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1.186.912,90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D877BB2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114,66</w:t>
            </w:r>
          </w:p>
        </w:tc>
      </w:tr>
      <w:tr w:rsidR="001C710A" w:rsidRPr="001C710A" w14:paraId="3E1E3AFF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70EBCCE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B6E0A98" w14:textId="6875C92C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99484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1.186.912,90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E779F12" w14:textId="7E02A95A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49FD9741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28CA3117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100203 ODRŽAVANJE BANKINA I BERME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6FC9FAC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391.297,61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32A6595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365.957,20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32BE4F86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93,52</w:t>
            </w:r>
          </w:p>
        </w:tc>
      </w:tr>
      <w:tr w:rsidR="001C710A" w:rsidRPr="001C710A" w14:paraId="6E745AF3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0A06EB5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C3E44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391.297,61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195F6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365.957,20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36E6DBA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93,52</w:t>
            </w:r>
          </w:p>
        </w:tc>
      </w:tr>
      <w:tr w:rsidR="001C710A" w:rsidRPr="001C710A" w14:paraId="011F8B45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0D20927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4B5CDCD" w14:textId="349067C1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A4E08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365.957,20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9468314" w14:textId="642AD34A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BD8F22F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22E8E90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20028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391.297,61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0CEC3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365.957,20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CCDBD02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93,52</w:t>
            </w:r>
          </w:p>
        </w:tc>
      </w:tr>
      <w:tr w:rsidR="001C710A" w:rsidRPr="001C710A" w14:paraId="423E3063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CCFC3AD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928C15" w14:textId="09B395C6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14B90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365.957,20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40A17C1" w14:textId="6189C976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73D654FD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66D327BF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100204 ODRŽAVANJE USJEKA, ZASJEKA I NASIPA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4DA8A5C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35.421,18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59ED740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34.724,52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0589001F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98,03</w:t>
            </w:r>
          </w:p>
        </w:tc>
      </w:tr>
      <w:tr w:rsidR="001C710A" w:rsidRPr="001C710A" w14:paraId="2F2BA2DF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08762CD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4E613B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35.421,18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8FF52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34.724,52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2BCC703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98,03</w:t>
            </w:r>
          </w:p>
        </w:tc>
      </w:tr>
      <w:tr w:rsidR="001C710A" w:rsidRPr="001C710A" w14:paraId="08664C6D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8140441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F3F0C6" w14:textId="3311ECA9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68E0D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34.724,52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986EE07" w14:textId="0B2CD1C2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3F7DC8CF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78EA8D2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EF551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35.421,18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A0DE5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34.724,52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47DF71D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98,03</w:t>
            </w:r>
          </w:p>
        </w:tc>
      </w:tr>
      <w:tr w:rsidR="001C710A" w:rsidRPr="001C710A" w14:paraId="5393AC89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78D8CA8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59F29A" w14:textId="498578EA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BCFB8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34.724,52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A0A2E00" w14:textId="207C7463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46BA1C37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634EEB3E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100205 ODRŽAVANJE OBJEKATA ZA ODVODNJU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65A3A3C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266.423,40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51D0007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249.274,34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33AE748D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93,56</w:t>
            </w:r>
          </w:p>
        </w:tc>
      </w:tr>
      <w:tr w:rsidR="001C710A" w:rsidRPr="001C710A" w14:paraId="6272F269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CD93F65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62089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266.423,40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F06F4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249.274,34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EEA029C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93,56</w:t>
            </w:r>
          </w:p>
        </w:tc>
      </w:tr>
      <w:tr w:rsidR="001C710A" w:rsidRPr="001C710A" w14:paraId="647C7EA9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ECA9AE1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A4A9CA" w14:textId="768F3E07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12948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249.274,34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0D9F443" w14:textId="1C976E97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B337E58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7140ECF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88E6E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266.423,40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0E0AB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249.274,34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7BF2676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93,56</w:t>
            </w:r>
          </w:p>
        </w:tc>
      </w:tr>
      <w:tr w:rsidR="001C710A" w:rsidRPr="001C710A" w14:paraId="6B733BDB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182CB02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B31226" w14:textId="12F55A5A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DCC108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249.274,34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8A3B568" w14:textId="79903E90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45B1F02C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3ECC4209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100206 ODRŽAVANJE OPREME CESTE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3D0E285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660.810,31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632D651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658.772,51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5F8D2ADB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99,69</w:t>
            </w:r>
          </w:p>
        </w:tc>
      </w:tr>
      <w:tr w:rsidR="001C710A" w:rsidRPr="001C710A" w14:paraId="458A2FD8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6578EF1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138DE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660.810,31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38261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658.772,51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21A49B4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99,69</w:t>
            </w:r>
          </w:p>
        </w:tc>
      </w:tr>
      <w:tr w:rsidR="001C710A" w:rsidRPr="001C710A" w14:paraId="4F8A474E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15A46D0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5B8622" w14:textId="07B8E296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35A7C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658.772,51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6719C6A" w14:textId="5EE9ACE6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7274A9A8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6DE490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8A4C5F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660.810,31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44BA3E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658.772,51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4DC4CA1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99,69</w:t>
            </w:r>
          </w:p>
        </w:tc>
      </w:tr>
      <w:tr w:rsidR="001C710A" w:rsidRPr="001C710A" w14:paraId="6B900AD8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09D84D3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FD509E" w14:textId="6997EADC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0A9F8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658.772,51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C97EDF0" w14:textId="31AA9E86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621A6213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0FFCE7A6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100207 KOŠNJA TRAVE I ZELENILA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744F836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979.260,59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2971C85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960.066,88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0D1E6521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98,04</w:t>
            </w:r>
          </w:p>
        </w:tc>
      </w:tr>
      <w:tr w:rsidR="001C710A" w:rsidRPr="001C710A" w14:paraId="5909E7AB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93170DC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C3685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979.260,59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87735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960.066,88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6612D0C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98,04</w:t>
            </w:r>
          </w:p>
        </w:tc>
      </w:tr>
      <w:tr w:rsidR="001C710A" w:rsidRPr="001C710A" w14:paraId="2B89047D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C0981CE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C5B140" w14:textId="61AC0BFF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22DB00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960.066,88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DC5E256" w14:textId="7BD1FAE2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6FA97FE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27E0401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6C76F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979.260,59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1D1BC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960.066,88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2BF7BBB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98,04</w:t>
            </w:r>
          </w:p>
        </w:tc>
      </w:tr>
      <w:tr w:rsidR="001C710A" w:rsidRPr="001C710A" w14:paraId="3DE1AFCD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6A5A3B2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B85B4E3" w14:textId="0419F4A9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793E6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960.066,88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D5C02BC" w14:textId="2C7222B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44298FCE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16222C95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100208 ODRŽAVANJE OBJEKTA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3815133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29.845,59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1B8E081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46.397,47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32D8D9D5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155,46</w:t>
            </w:r>
          </w:p>
        </w:tc>
      </w:tr>
      <w:tr w:rsidR="001C710A" w:rsidRPr="001C710A" w14:paraId="3FAA86DA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97E99FF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E67C0A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29.845,59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31728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46.397,47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D02CE21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155,46</w:t>
            </w:r>
          </w:p>
        </w:tc>
      </w:tr>
      <w:tr w:rsidR="001C710A" w:rsidRPr="001C710A" w14:paraId="1F755FF4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C044240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6E37B1" w14:textId="3337B572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5B3BB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46.397,47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40FDBEF" w14:textId="4897E1BE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5CB53F3F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4EEDE7E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DA733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29.845,59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83177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46.397,47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5280E31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155,46</w:t>
            </w:r>
          </w:p>
        </w:tc>
      </w:tr>
      <w:tr w:rsidR="001C710A" w:rsidRPr="001C710A" w14:paraId="7A86724F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0483EBC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9B8CE2" w14:textId="72CB98BC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78AB1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46.397,47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0488E44" w14:textId="6FA51DB9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16FDF8D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12DC35F7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100209 SUSTAVI, INSTALACIJE, UREĐAJI I OPREMA NA CESTAMA I OBJEKTIMA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250F10E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1.775,50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4E09703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1.269,94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5B240F68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71,53</w:t>
            </w:r>
          </w:p>
        </w:tc>
      </w:tr>
      <w:tr w:rsidR="001C710A" w:rsidRPr="001C710A" w14:paraId="7B0ECF09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BDFE4BD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56E93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1.775,50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3D0864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1.269,94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C77CD60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71,53</w:t>
            </w:r>
          </w:p>
        </w:tc>
      </w:tr>
      <w:tr w:rsidR="001C710A" w:rsidRPr="001C710A" w14:paraId="2B456219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2299372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0A239B" w14:textId="1AE760E4" w:rsidR="001C710A" w:rsidRPr="001C710A" w:rsidRDefault="00262E78" w:rsidP="00262E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04A4B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1.269,94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D2FBBD2" w14:textId="032A362A" w:rsidR="001C710A" w:rsidRPr="001C710A" w:rsidRDefault="00262E78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641F52C2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FD127D5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F1EC8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1.775,50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0C8C5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1.269,94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5713C34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71,53</w:t>
            </w:r>
          </w:p>
        </w:tc>
      </w:tr>
      <w:tr w:rsidR="001C710A" w:rsidRPr="001C710A" w14:paraId="1F921B8D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0B6BB57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3DAA6F" w14:textId="07AF5DFC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C0362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1.269,94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5EA10C5" w14:textId="0A656A21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156F615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4337BCB9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100210 ODRŽAVANJE CESTA I OBJEKATA U ZIMSKIM UVJETIMA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4C4FF08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1.944.877,79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31CA62E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1.872.064,84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3C40E9D2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96,26</w:t>
            </w:r>
          </w:p>
        </w:tc>
      </w:tr>
      <w:tr w:rsidR="001C710A" w:rsidRPr="001C710A" w14:paraId="7C3151F0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02B4079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55285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1.944.877,79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BF8746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1.872.064,84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596907A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96,26</w:t>
            </w:r>
          </w:p>
        </w:tc>
      </w:tr>
      <w:tr w:rsidR="001C710A" w:rsidRPr="001C710A" w14:paraId="0C125F32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B21582E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409715" w14:textId="0D793490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F0C73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1.872.064,84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9174080" w14:textId="6A37E4B9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7B608802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7DABBD5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64BCD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1.944.877,79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AD2B24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1.872.064,84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A5CF645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96,26</w:t>
            </w:r>
          </w:p>
        </w:tc>
      </w:tr>
      <w:tr w:rsidR="001C710A" w:rsidRPr="001C710A" w14:paraId="0A3B36CD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14EB7D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EFFB3E" w14:textId="6DB53F6C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86333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1.872.064,84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F67BFF0" w14:textId="79DF6653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6AECCEF7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1CB21D6F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100211 OSTALI RADOVI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781FDF5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94.084,97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79C74F3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79.086,56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6E37BA23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84,06</w:t>
            </w:r>
          </w:p>
        </w:tc>
      </w:tr>
      <w:tr w:rsidR="001C710A" w:rsidRPr="001C710A" w14:paraId="1E4A4E92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9CCDC7C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33332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94.084,97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3F0CA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79.086,56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3D6460E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84,06</w:t>
            </w:r>
          </w:p>
        </w:tc>
      </w:tr>
      <w:tr w:rsidR="001C710A" w:rsidRPr="001C710A" w14:paraId="4BA09435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3B4F575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3948BE" w14:textId="473DE1B7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A8868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79.086,56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C3EADDC" w14:textId="72BF9C37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51CE94B1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A629370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BF15E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94.084,97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B79C6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79.086,56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9F6F2D4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84,06</w:t>
            </w:r>
          </w:p>
        </w:tc>
      </w:tr>
      <w:tr w:rsidR="001C710A" w:rsidRPr="001C710A" w14:paraId="035210BC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D2B36CB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E20A8B" w14:textId="5D4EF8E2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BB7FF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79.086,56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B29F2BD" w14:textId="6644D655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69D61008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7E58A820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100212 NABAVA SOLI ZA POSIPANJE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2A36DDC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394.900,01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15E7A39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197.932,01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727ABDF3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50,12</w:t>
            </w:r>
          </w:p>
        </w:tc>
      </w:tr>
      <w:tr w:rsidR="001C710A" w:rsidRPr="001C710A" w14:paraId="0BB5238D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431ED61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6C805A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394.900,01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84B59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197.932,01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1365059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50,12</w:t>
            </w:r>
          </w:p>
        </w:tc>
      </w:tr>
      <w:tr w:rsidR="001C710A" w:rsidRPr="001C710A" w14:paraId="1098D77B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F219B0F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466931" w14:textId="08CE3F28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33E2F0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197.932,01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39E07A9" w14:textId="66DB9DB7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4565908A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28F518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37FC6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394.900,01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1DA5954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197.932,01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0A1AC8E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50,12</w:t>
            </w:r>
          </w:p>
        </w:tc>
      </w:tr>
      <w:tr w:rsidR="001C710A" w:rsidRPr="001C710A" w14:paraId="374E1170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466DD84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94CF38F" w14:textId="39AEF09C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828904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197.932,01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7342A78" w14:textId="56A72BB6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665A4240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48FFD958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100213 RAZLIKA U CIJENI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1A41CEC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573.998,94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69A6588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573.998,94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2D9FCBCD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C710A" w:rsidRPr="001C710A" w14:paraId="2EC573E0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FAC75BB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2D50A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573.998,94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7C596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573.998,94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47EC7D8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C710A" w:rsidRPr="001C710A" w14:paraId="430CB26A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7FB1A03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21C36D" w14:textId="7EDFA724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52FA5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573.998,94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B5BFD2E" w14:textId="029215EC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6BE083F9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9256B24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B8C2DB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573.998,94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C316C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573.998,94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64CD051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C710A" w:rsidRPr="001C710A" w14:paraId="6144E4F7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F33CB6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0F60F9" w14:textId="075169D7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08048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573.998,94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CA2813D" w14:textId="5956166D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720F768F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2B10AF79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100214 OBJEDINJENI IZNOS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3A28835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52.025,50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3F432D9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33.547,76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0F37FDC7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64,48</w:t>
            </w:r>
          </w:p>
        </w:tc>
      </w:tr>
      <w:tr w:rsidR="001C710A" w:rsidRPr="001C710A" w14:paraId="0A07FC23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6443FC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4FFB5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52.025,50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69A24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33.547,76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58352B0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64,48</w:t>
            </w:r>
          </w:p>
        </w:tc>
      </w:tr>
      <w:tr w:rsidR="001C710A" w:rsidRPr="001C710A" w14:paraId="375759D2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F608827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543E45" w14:textId="26BD795F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E5D1E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33.547,76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AB18565" w14:textId="0B37A56D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52117891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D1D96DF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31AAB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52.025,50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6F6084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33.547,76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2D64B3E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64,48</w:t>
            </w:r>
          </w:p>
        </w:tc>
      </w:tr>
      <w:tr w:rsidR="001C710A" w:rsidRPr="001C710A" w14:paraId="4F21ACFF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34B33DD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1148F3" w14:textId="2DBD09E2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287DC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33.547,76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56F050D" w14:textId="470C151F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395A6A0B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BDD7EE"/>
            <w:vAlign w:val="center"/>
            <w:hideMark/>
          </w:tcPr>
          <w:p w14:paraId="59F69458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Program: 1003 IZVANREDNO ODRŽAVANJE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63A5C86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5.872.126,19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6A06592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3.930.231,23</w:t>
            </w:r>
          </w:p>
        </w:tc>
        <w:tc>
          <w:tcPr>
            <w:tcW w:w="719" w:type="dxa"/>
            <w:shd w:val="clear" w:color="000000" w:fill="BDD7EE"/>
            <w:vAlign w:val="center"/>
            <w:hideMark/>
          </w:tcPr>
          <w:p w14:paraId="10982F47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66,93</w:t>
            </w:r>
          </w:p>
        </w:tc>
      </w:tr>
      <w:tr w:rsidR="001C710A" w:rsidRPr="001C710A" w14:paraId="42D11A09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5CA30B20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100301 SANACIJE CESTA/KOLNIKA/ZIDOVA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75EEB06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4.187.215,07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60F1465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3.056.872,02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23244E00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73,00</w:t>
            </w:r>
          </w:p>
        </w:tc>
      </w:tr>
      <w:tr w:rsidR="001C710A" w:rsidRPr="001C710A" w14:paraId="0397E90F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AE0A269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C3798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2.682.721,57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18F7F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1.937.933,93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CECCD96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72,24</w:t>
            </w:r>
          </w:p>
        </w:tc>
      </w:tr>
      <w:tr w:rsidR="001C710A" w:rsidRPr="001C710A" w14:paraId="628B75EA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5D497B2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CC9128" w14:textId="42457EA5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E9915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986.521,68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47A4A92" w14:textId="628FB277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52078608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B3778A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A1CBF64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1.212.382,78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BE72A8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986.521,68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E587182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81,37</w:t>
            </w:r>
          </w:p>
        </w:tc>
      </w:tr>
      <w:tr w:rsidR="001C710A" w:rsidRPr="001C710A" w14:paraId="79256525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5ADB9D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BF849C" w14:textId="4830E869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4F392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986.521,68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45056F8" w14:textId="14CE3D23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4C76594B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AA642B7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4913 Prihodi za posebne namjene - naknada za korištenje cestovnog zemljišta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75A2D23" w14:textId="4F8A9E3D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827C9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166.377,04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DF1B33F" w14:textId="623FE569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3E3B6F88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34C712D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9ED0D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314.189,83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BFC8D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166.377,04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989958F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52,95</w:t>
            </w:r>
          </w:p>
        </w:tc>
      </w:tr>
      <w:tr w:rsidR="001C710A" w:rsidRPr="001C710A" w14:paraId="12959569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932936B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4E2FA2" w14:textId="1750DEA9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8649C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166.377,04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8C9D8F9" w14:textId="674D1FEA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6C061174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F91A587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4981 Prenesena sredstva - prihodi za posebne namjene - izvanproračunski korisnici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187F15A" w14:textId="6260D001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42E43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785.035,21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C39AF48" w14:textId="46F60ED1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62FD8327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FD8871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C3C2F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1.156.148,96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1A70D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785.035,21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E68BBE9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67,90</w:t>
            </w:r>
          </w:p>
        </w:tc>
      </w:tr>
      <w:tr w:rsidR="001C710A" w:rsidRPr="001C710A" w14:paraId="62AB9C25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29D6123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A439C1" w14:textId="147ABD0F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488A3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785.035,21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EEC19EF" w14:textId="6DA82981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797C5A1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C922BB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59 Pomoći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A47B2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850.567,94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71649E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465.012,53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D1D4974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54,67</w:t>
            </w:r>
          </w:p>
        </w:tc>
      </w:tr>
      <w:tr w:rsidR="001C710A" w:rsidRPr="001C710A" w14:paraId="64F02593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48566D7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5911 Pomoći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C7062C" w14:textId="5BBCBB40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44851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151.539,58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1B2017E" w14:textId="2C37C1A1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031414F4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BDE5A55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3C583A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537.094,99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1191E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151.539,58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716DC74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28,21</w:t>
            </w:r>
          </w:p>
        </w:tc>
      </w:tr>
      <w:tr w:rsidR="001C710A" w:rsidRPr="001C710A" w14:paraId="54F8C671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4747AB5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942FB8" w14:textId="43B39CC0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F79F0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151.539,58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49BB844" w14:textId="2162FD9D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05D1CF6A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6E1D0A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5981 Prenesena sredstva - pomoći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0EEE04" w14:textId="518969FC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CDC44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313.472,95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BEFB3CF" w14:textId="4F771327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61C65684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D0EC65C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DCA1B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313.472,95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D35EC9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313.472,95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8C1116D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C710A" w:rsidRPr="001C710A" w14:paraId="7A732315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0F1F094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A72373" w14:textId="5C914358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07C9C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313.472,95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CD45FFB" w14:textId="6C194B19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45234DD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E15C30F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69 Donacije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3E8D59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653.925,56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657C69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653.925,56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06A97E6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C710A" w:rsidRPr="001C710A" w14:paraId="1E8A8F27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0C2C1C1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6911 Donacije - ŽUC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A8FB6D2" w14:textId="3189763F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65687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599.489,83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B664C50" w14:textId="288EE42E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E848097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4A288D6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68400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599.489,83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6D0E8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599.489,83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ED43865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C710A" w:rsidRPr="001C710A" w14:paraId="69E49B44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C45EB1C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596B3D" w14:textId="4BD17FC1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E73C36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599.489,83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A1B06E7" w14:textId="4FF45979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728A2F3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2256742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6981 Prenesena sredstva - donacije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F70380" w14:textId="50075F6A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4E2C0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54.435,73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BFAFF80" w14:textId="6331FA84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5B3B3306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D0008C3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5CFB6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54.435,73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B26759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54.435,73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D79F866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1C710A" w:rsidRPr="001C710A" w14:paraId="4D2635D5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9216272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CA6D27" w14:textId="3F1EE176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0CA64C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54.435,73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F8930E8" w14:textId="70322CFA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E62076F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4DEC0877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100302 MOSTOVI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730DA02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576.704,24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6CC52F8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324.792,89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63BE80DA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56,32</w:t>
            </w:r>
          </w:p>
        </w:tc>
      </w:tr>
      <w:tr w:rsidR="001C710A" w:rsidRPr="001C710A" w14:paraId="3BB3976B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1C3F7CE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06627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576.704,24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FB634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324.792,89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01BF5DB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56,32</w:t>
            </w:r>
          </w:p>
        </w:tc>
      </w:tr>
      <w:tr w:rsidR="001C710A" w:rsidRPr="001C710A" w14:paraId="670EB385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3C4BAEF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D446593" w14:textId="1C170048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F990E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232.572,40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8386886" w14:textId="7B751D0D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77025F4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A09E329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5C80A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C12C1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232.572,40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0C52D85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77,52</w:t>
            </w:r>
          </w:p>
        </w:tc>
      </w:tr>
      <w:tr w:rsidR="001C710A" w:rsidRPr="001C710A" w14:paraId="3344C120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46CC4ED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CB9649" w14:textId="1EBC373F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512E5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232.572,40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16C4FF9" w14:textId="16204CE2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5C21581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FB1AEE8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4981 Prenesena sredstva - prihodi za posebne namjene - izvanproračunski korisnici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E8FEE29" w14:textId="2E269905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B05E1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92.220,49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3170907" w14:textId="55A5597D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875F44D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1BFC60B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1D45B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276.704,24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F09A19A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92.220,49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F897C65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33,33</w:t>
            </w:r>
          </w:p>
        </w:tc>
      </w:tr>
      <w:tr w:rsidR="001C710A" w:rsidRPr="001C710A" w14:paraId="7980E9E9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029FDFF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01F92C" w14:textId="35A03B63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4C10F8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92.220,49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D7CD840" w14:textId="4D42C8DB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6933E1DB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619A879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100303 OPREMA CESTE I POSTAVA PROMETNE SIGNALIZACIJE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005117C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414.676,54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420B132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157.494,29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3DEA866D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37,98</w:t>
            </w:r>
          </w:p>
        </w:tc>
      </w:tr>
      <w:tr w:rsidR="001C710A" w:rsidRPr="001C710A" w14:paraId="7AAFA152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66C7BBC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D3815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414.676,54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168AC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157.494,29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ED5C9E8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37,98</w:t>
            </w:r>
          </w:p>
        </w:tc>
      </w:tr>
      <w:tr w:rsidR="001C710A" w:rsidRPr="001C710A" w14:paraId="68D5175A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ECCB10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B095FD" w14:textId="5DFECD61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76DE1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115.965,75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D3296EF" w14:textId="6247DAFF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6DD512FF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1EDD14E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836F9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330.665,48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5D7814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115.965,75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8D4913F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35,07</w:t>
            </w:r>
          </w:p>
        </w:tc>
      </w:tr>
      <w:tr w:rsidR="001C710A" w:rsidRPr="001C710A" w14:paraId="03DDA6A1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246BD2B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ED3F044" w14:textId="5F131416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3B52BC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115.965,75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85D71A6" w14:textId="55C6F8C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52BAD0AE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94E203D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4981 Prenesena sredstva - prihodi za posebne namjene - izvanproračunski korisnici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37B560" w14:textId="6F92DB08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360F5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41.528,54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5F6A8E9" w14:textId="71842F0F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711CF6A2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3E47B79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F61D01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84.011,06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679A56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41.528,54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3CA4099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49,43</w:t>
            </w:r>
          </w:p>
        </w:tc>
      </w:tr>
      <w:tr w:rsidR="001C710A" w:rsidRPr="001C710A" w14:paraId="797BA33D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F2EA8DF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C117550" w14:textId="79F68900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4CE531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41.528,54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A5712DD" w14:textId="01F2AC41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47FAFDA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17325E36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100304 INTERVENTNE MJERE I ZAHVATI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02550B9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344.442,84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13AB899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212.909,53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36CAFE04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61,81</w:t>
            </w:r>
          </w:p>
        </w:tc>
      </w:tr>
      <w:tr w:rsidR="001C710A" w:rsidRPr="001C710A" w14:paraId="4D52A54D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18A1436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936498A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344.442,84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AFF88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212.909,53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3DDC16F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61,81</w:t>
            </w:r>
          </w:p>
        </w:tc>
      </w:tr>
      <w:tr w:rsidR="001C710A" w:rsidRPr="001C710A" w14:paraId="1ED759A0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69C5CF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A7D323" w14:textId="7B7A22EE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5BCA5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90.978,57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86E69A2" w14:textId="2EC459E3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0B64FAFC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6960692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486F8C4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190.500,00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0235F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90.978,57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4DE335A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47,76</w:t>
            </w:r>
          </w:p>
        </w:tc>
      </w:tr>
      <w:tr w:rsidR="001C710A" w:rsidRPr="001C710A" w14:paraId="7D8B3F03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BFD4F9E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E43178" w14:textId="359322F3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2B7236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4AB6F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90.978,57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D59EAA2" w14:textId="300D0200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3ADF0113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1FD4129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4912 Prihodi za posebne namjene - naknada za izvanredni prijevoz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BB9B176" w14:textId="056DA373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D9E77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B9193C7" w14:textId="39FBA4D8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AC4A708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8391032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02EFCE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A9AA6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8FADB87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E20B7B" w:rsidRPr="001C710A" w14:paraId="04249F4F" w14:textId="77777777" w:rsidTr="00E20B7B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548A157" w14:textId="77777777" w:rsidR="00E20B7B" w:rsidRPr="001C710A" w:rsidRDefault="00E20B7B" w:rsidP="00E20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6272BA" w14:textId="68B09233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1D82789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C715DB4" w14:textId="21D1B34B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44E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20B7B" w:rsidRPr="001C710A" w14:paraId="4C58F489" w14:textId="77777777" w:rsidTr="00E20B7B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C0046CF" w14:textId="77777777" w:rsidR="00E20B7B" w:rsidRPr="001C710A" w:rsidRDefault="00E20B7B" w:rsidP="00E20B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4913 Prihodi za posebne namjene - naknada za korištenje cestovnog zemljišta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1A93404" w14:textId="59AEF931" w:rsidR="00E20B7B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3D3580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E3A443E" w14:textId="7066366A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44E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20B7B" w:rsidRPr="001C710A" w14:paraId="5389AB4B" w14:textId="77777777" w:rsidTr="00E20B7B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BAA08E9" w14:textId="77777777" w:rsidR="00E20B7B" w:rsidRPr="001C710A" w:rsidRDefault="00E20B7B" w:rsidP="00E20B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5247DA8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13.474,95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3F5538C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5930091" w14:textId="3BCF94A1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44E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20B7B" w:rsidRPr="001C710A" w14:paraId="2BF2D6D8" w14:textId="77777777" w:rsidTr="00E20B7B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37D364F" w14:textId="77777777" w:rsidR="00E20B7B" w:rsidRPr="001C710A" w:rsidRDefault="00E20B7B" w:rsidP="00E20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995B46" w14:textId="58E5AB22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4F7FD1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FE76AA3" w14:textId="169011F1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44E1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7CA75C1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E28D7F7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4981 Prenesena sredstva - prihodi za posebne namjene - izvanproračunski korisnici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F1DAC0" w14:textId="5198807F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61BE2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117.430,96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CC9E105" w14:textId="5AC80A34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7489B372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D14272F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30072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135.967,89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8F04C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117.430,96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3B86865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86,37</w:t>
            </w:r>
          </w:p>
        </w:tc>
      </w:tr>
      <w:tr w:rsidR="001C710A" w:rsidRPr="001C710A" w14:paraId="152FD0A7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1B60490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D9F4BC" w14:textId="2CFDB399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8EA3C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117.430,96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D2D7D61" w14:textId="297D568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E7084D1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6664450C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100305 PROJEKTIRANJE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2FB9C7E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188.375,00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0536F45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28494889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50,43</w:t>
            </w:r>
          </w:p>
        </w:tc>
      </w:tr>
      <w:tr w:rsidR="001C710A" w:rsidRPr="001C710A" w14:paraId="3B11306A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DA3FF9E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924B5A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188.375,00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261BEA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ADC9371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50,43</w:t>
            </w:r>
          </w:p>
        </w:tc>
      </w:tr>
      <w:tr w:rsidR="001C710A" w:rsidRPr="001C710A" w14:paraId="17348F6E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D7B2E99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9B76020" w14:textId="704C9044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EF7C7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32.875,00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087076C" w14:textId="01ED66DD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64ECCA65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66F3697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8E319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79.625,00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1108B6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32.875,00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2C0AE54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41,29</w:t>
            </w:r>
          </w:p>
        </w:tc>
      </w:tr>
      <w:tr w:rsidR="001C710A" w:rsidRPr="001C710A" w14:paraId="485C1013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B1D7010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60FAD0" w14:textId="1BDFB087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82F81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32.875,00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D73A3B5" w14:textId="16C89EB5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705CE411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EE18105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4981 Prenesena sredstva - prihodi za posebne namjene - izvanproračunski korisnici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1F67AB" w14:textId="28AAB779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D8F69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62.125,00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D7804CC" w14:textId="0E03EF1F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33C6D08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6A657D6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8489B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108.750,00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A48E5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62.125,00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4F69845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57,13</w:t>
            </w:r>
          </w:p>
        </w:tc>
      </w:tr>
      <w:tr w:rsidR="001C710A" w:rsidRPr="001C710A" w14:paraId="4CFBD3CA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02F76D8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7EEF305" w14:textId="6F83EA81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EDC34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62.125,00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0699166" w14:textId="5ECDC342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4D99909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73F8CF23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100306 PROŠIRENJE EVIDENCIJE BAZE CESTOVNIH PODATAKA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2B2F5AF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56.937,50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52C27DB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36.937,50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0A5CCAB8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64,87</w:t>
            </w:r>
          </w:p>
        </w:tc>
      </w:tr>
      <w:tr w:rsidR="001C710A" w:rsidRPr="001C710A" w14:paraId="5AB7B001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AD0BDD8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0FDD9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56.937,50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B3ABD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36.937,50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3D4185E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64,87</w:t>
            </w:r>
          </w:p>
        </w:tc>
      </w:tr>
      <w:tr w:rsidR="001C710A" w:rsidRPr="001C710A" w14:paraId="66743D37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3E7F8BE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3E7DD3" w14:textId="3E8E1222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6DB13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36.937,50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03543BC" w14:textId="07A36943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621A8C43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45D507C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E54EE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41.937,50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11EEE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36.937,50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D070A15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88,08</w:t>
            </w:r>
          </w:p>
        </w:tc>
      </w:tr>
      <w:tr w:rsidR="00E20B7B" w:rsidRPr="001C710A" w14:paraId="6D1E7A72" w14:textId="77777777" w:rsidTr="00E20B7B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F83CEDE" w14:textId="77777777" w:rsidR="00E20B7B" w:rsidRPr="001C710A" w:rsidRDefault="00E20B7B" w:rsidP="00E20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EA3DD08" w14:textId="32C8514C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637990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36.937,50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63B5451" w14:textId="2DAEF2F9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A6A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20B7B" w:rsidRPr="001C710A" w14:paraId="30B218AD" w14:textId="77777777" w:rsidTr="00E20B7B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54C4B25" w14:textId="77777777" w:rsidR="00E20B7B" w:rsidRPr="001C710A" w:rsidRDefault="00E20B7B" w:rsidP="00E20B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4981 Prenesena sredstva - prihodi za posebne namjene - izvanproračunski korisnici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EB9B4B" w14:textId="4FC1E167" w:rsidR="00E20B7B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B13F59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9D80E87" w14:textId="7EE4CF35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A6A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20B7B" w:rsidRPr="001C710A" w14:paraId="18561DF8" w14:textId="77777777" w:rsidTr="00E20B7B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B697133" w14:textId="77777777" w:rsidR="00E20B7B" w:rsidRPr="001C710A" w:rsidRDefault="00E20B7B" w:rsidP="00E20B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7288EE3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FE80BE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39DD08A" w14:textId="0BBA5C89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A6A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20B7B" w:rsidRPr="001C710A" w14:paraId="42DDEB0A" w14:textId="77777777" w:rsidTr="00E20B7B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AC872C9" w14:textId="77777777" w:rsidR="00E20B7B" w:rsidRPr="001C710A" w:rsidRDefault="00E20B7B" w:rsidP="00E20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E84BA2" w14:textId="49E3A2F5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8AA4BB0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8265D82" w14:textId="53A79361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4A6A0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0B984B9C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568EBBEB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100308 GEODETSKE USLUGE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3CCC05A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93.775,00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7A02BFD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46.225,00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5686C74A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49,29</w:t>
            </w:r>
          </w:p>
        </w:tc>
      </w:tr>
      <w:tr w:rsidR="001C710A" w:rsidRPr="001C710A" w14:paraId="58DAED54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C995E76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C9B6F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93.775,00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7C594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46.225,00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079B9D6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49,29</w:t>
            </w:r>
          </w:p>
        </w:tc>
      </w:tr>
      <w:tr w:rsidR="001C710A" w:rsidRPr="001C710A" w14:paraId="0DD095D7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1CF9E42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F7411C" w14:textId="4BD13DE3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C89C80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46.225,00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CCBB44B" w14:textId="72376618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77515DF8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610FE7F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001A1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93.775,00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FF6AB6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46.225,00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51AFC65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49,29</w:t>
            </w:r>
          </w:p>
        </w:tc>
      </w:tr>
      <w:tr w:rsidR="00E20B7B" w:rsidRPr="001C710A" w14:paraId="6C3F6888" w14:textId="77777777" w:rsidTr="00E20B7B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78EE48A" w14:textId="77777777" w:rsidR="00E20B7B" w:rsidRPr="001C710A" w:rsidRDefault="00E20B7B" w:rsidP="00E20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FE235E9" w14:textId="3CEF5C62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3AF2D3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46.225,00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48277ED" w14:textId="238386DF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628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20B7B" w:rsidRPr="001C710A" w14:paraId="799FF5A1" w14:textId="77777777" w:rsidTr="00E20B7B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579A1467" w14:textId="77777777" w:rsidR="00E20B7B" w:rsidRPr="001C710A" w:rsidRDefault="00E20B7B" w:rsidP="00E20B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100311 OSTALE NESPOMENUTE USLUGE VEZANE UZ ODRŽAVANJE CESTA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4D0D9BF1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1E24554E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72E94243" w14:textId="4D5ADCFB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628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20B7B" w:rsidRPr="001C710A" w14:paraId="171E8B96" w14:textId="77777777" w:rsidTr="00E20B7B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89F13E8" w14:textId="77777777" w:rsidR="00E20B7B" w:rsidRPr="001C710A" w:rsidRDefault="00E20B7B" w:rsidP="00E20B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9CB6CD8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C1B71D5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3EAF0A3" w14:textId="70DDB72F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628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20B7B" w:rsidRPr="001C710A" w14:paraId="2196E8B4" w14:textId="77777777" w:rsidTr="00E20B7B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9DDC267" w14:textId="77777777" w:rsidR="00E20B7B" w:rsidRPr="001C710A" w:rsidRDefault="00E20B7B" w:rsidP="00E20B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4913 Prihodi za posebne namjene - naknada za korištenje cestovnog zemljišta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7792C8" w14:textId="139788DD" w:rsidR="00E20B7B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546C052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64CF670" w14:textId="3E572FD3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628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20B7B" w:rsidRPr="001C710A" w14:paraId="0E4579BE" w14:textId="77777777" w:rsidTr="00E20B7B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569F5D7" w14:textId="77777777" w:rsidR="00E20B7B" w:rsidRPr="001C710A" w:rsidRDefault="00E20B7B" w:rsidP="00E20B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D0918A4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0315C2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E668693" w14:textId="7449DD6F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628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20B7B" w:rsidRPr="001C710A" w14:paraId="18721742" w14:textId="77777777" w:rsidTr="00E20B7B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A5C1450" w14:textId="77777777" w:rsidR="00E20B7B" w:rsidRPr="001C710A" w:rsidRDefault="00E20B7B" w:rsidP="00E20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98413EF" w14:textId="45B7EB1A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AFD8D9E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C2EBF6A" w14:textId="14C7C3D4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628B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8A88666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BDD7EE"/>
            <w:vAlign w:val="center"/>
            <w:hideMark/>
          </w:tcPr>
          <w:p w14:paraId="6BF2F8F8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Program: 1004 GRADNJA CESTA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6346328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4.071.088,52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170E8A84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2.882.245,85</w:t>
            </w:r>
          </w:p>
        </w:tc>
        <w:tc>
          <w:tcPr>
            <w:tcW w:w="719" w:type="dxa"/>
            <w:shd w:val="clear" w:color="000000" w:fill="BDD7EE"/>
            <w:vAlign w:val="center"/>
            <w:hideMark/>
          </w:tcPr>
          <w:p w14:paraId="23E4B961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70,80</w:t>
            </w:r>
          </w:p>
        </w:tc>
      </w:tr>
      <w:tr w:rsidR="001C710A" w:rsidRPr="001C710A" w14:paraId="3471C19A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1438A776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 100401 GRAĐENJE CESTA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5C7D1A6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3.808.281,37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4669E42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2.793.025,10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6761F7F1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73,34</w:t>
            </w:r>
          </w:p>
        </w:tc>
      </w:tr>
      <w:tr w:rsidR="001C710A" w:rsidRPr="001C710A" w14:paraId="76B17975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B1CFDC0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3F6931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1.281.036,94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5B370B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994.087,61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FF7F652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77,60</w:t>
            </w:r>
          </w:p>
        </w:tc>
      </w:tr>
      <w:tr w:rsidR="001C710A" w:rsidRPr="001C710A" w14:paraId="47130675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18D7D43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0B1B46" w14:textId="04CBB643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22458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340.411,94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AD1A0D0" w14:textId="4431A517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7F9548FF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FEB8780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BA20E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626.541,29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48D0AE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340.411,94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1E6D565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54,33</w:t>
            </w:r>
          </w:p>
        </w:tc>
      </w:tr>
      <w:tr w:rsidR="001C710A" w:rsidRPr="001C710A" w14:paraId="484FCF9F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D1E5F84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430E9D" w14:textId="3BC31392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49477B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340.411,94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EC0DF9F" w14:textId="45D29AAF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3809637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8DCE027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Izvor: 4981 Prenesena sredstva - prihodi za posebne namjene - izvanproračunski korisnici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900666" w14:textId="2A1601B0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C521C7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653.675,67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51A0D64" w14:textId="528291DF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44AA505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70F6A23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67965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654.495,65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001280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653.675,67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7D2927D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99,87</w:t>
            </w:r>
          </w:p>
        </w:tc>
      </w:tr>
      <w:tr w:rsidR="001C710A" w:rsidRPr="001C710A" w14:paraId="07A6830E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EA981F6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EBAFB5" w14:textId="7E127D5B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C0777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653.675,67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DB3D95C" w14:textId="620387FF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CDA2190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9FE6164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59 Pomoći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EEB00B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2.527.244,43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880A1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1.798.937,49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5F89789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71,18</w:t>
            </w:r>
          </w:p>
        </w:tc>
      </w:tr>
      <w:tr w:rsidR="001C710A" w:rsidRPr="001C710A" w14:paraId="5DBF2812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7464D08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5911 Pomoći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05FCD4" w14:textId="36CD1C8C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C1317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1.587.664,63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592D9ED" w14:textId="5433699D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DFA77C3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971259E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BCC12A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2.315.151,58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4B4CE2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1.587.664,63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BD17822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68,58</w:t>
            </w:r>
          </w:p>
        </w:tc>
      </w:tr>
      <w:tr w:rsidR="001C710A" w:rsidRPr="001C710A" w14:paraId="67D9551F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CD12B4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F76793E" w14:textId="26601794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1624AE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1.587.664,63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F89E313" w14:textId="3C853B78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65C10357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7A384F8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5981 Prenesena sredstva - pomoći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30D77C" w14:textId="45EF2F64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C7B57F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211.272,86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38A8FF2" w14:textId="26252047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E164B4D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8AA04EF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8C26FA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212.092,85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C0431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211.272,86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EDA0C4A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99,61</w:t>
            </w:r>
          </w:p>
        </w:tc>
      </w:tr>
      <w:tr w:rsidR="001C710A" w:rsidRPr="001C710A" w14:paraId="577FE10E" w14:textId="77777777" w:rsidTr="008F74F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8538956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C88335" w14:textId="4F7544A2" w:rsidR="001C710A" w:rsidRPr="001C710A" w:rsidRDefault="008F74FA" w:rsidP="008F7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5E4F5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211.272,86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71764B8" w14:textId="5E4751C5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358708E2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DDEBF7"/>
            <w:vAlign w:val="center"/>
            <w:hideMark/>
          </w:tcPr>
          <w:p w14:paraId="5FE9AA61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 100405 PROJEKTIRANJE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223A325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262.807,15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2DAA0B0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89.220,75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6F76A439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33,95</w:t>
            </w:r>
          </w:p>
        </w:tc>
      </w:tr>
      <w:tr w:rsidR="001C710A" w:rsidRPr="001C710A" w14:paraId="32B4AFBD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86C886A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 Prihodi za posebne namjene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6BA1AD5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208.281,25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CA42C6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57.931,25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14943A4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27,81</w:t>
            </w:r>
          </w:p>
        </w:tc>
      </w:tr>
      <w:tr w:rsidR="001C710A" w:rsidRPr="001C710A" w14:paraId="2C6E3DE3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58C6B23C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4911 Prihodi za posebne namjene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9B09A10" w14:textId="2724CE03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71331B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36.804,14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6678535" w14:textId="01F859C2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18657608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1C48FC11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6FAE06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146.122,89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17FD384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36.804,14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FE251B6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25,19</w:t>
            </w:r>
          </w:p>
        </w:tc>
      </w:tr>
      <w:tr w:rsidR="001C710A" w:rsidRPr="001C710A" w14:paraId="002D6674" w14:textId="77777777" w:rsidTr="00922DDE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076DCC41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4187B2" w14:textId="60D6D9B6" w:rsidR="001C710A" w:rsidRPr="001C710A" w:rsidRDefault="008F74FA" w:rsidP="00922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FF8656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36.804,14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BD186CF" w14:textId="7118D0F9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70FDB174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8C02CE8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4981 Prenesena sredstva - prihodi za posebne namjene - izvanproračunski korisnici - naknada za uporabu javnih cesta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87A609" w14:textId="79491492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1F982C3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21.127,11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C1A1DFF" w14:textId="3D2A3A68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75C6DB7E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F8D9C9C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BDF50D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62.158,36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06EA82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21.127,11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0367F84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33,99</w:t>
            </w:r>
          </w:p>
        </w:tc>
      </w:tr>
      <w:tr w:rsidR="001C710A" w:rsidRPr="001C710A" w14:paraId="6D766887" w14:textId="77777777" w:rsidTr="00922DDE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8DF6A61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E0103F2" w14:textId="2D6AF34F" w:rsidR="001C710A" w:rsidRPr="001C710A" w:rsidRDefault="00922DDE" w:rsidP="00922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014CA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21.127,11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4E69888" w14:textId="6015DB90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04EC44CE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294FC0D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59 Pomoći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96660C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54.525,90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CD5C6C8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31.289,50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037BA20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57,38</w:t>
            </w:r>
          </w:p>
        </w:tc>
      </w:tr>
      <w:tr w:rsidR="00E20B7B" w:rsidRPr="001C710A" w14:paraId="140C8149" w14:textId="77777777" w:rsidTr="00E20B7B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77184AE1" w14:textId="77777777" w:rsidR="00E20B7B" w:rsidRPr="001C710A" w:rsidRDefault="00E20B7B" w:rsidP="00E20B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5911 Pomoći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FD94D8" w14:textId="2714951D" w:rsidR="00E20B7B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440D18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DB7177B" w14:textId="5576AF84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961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20B7B" w:rsidRPr="001C710A" w14:paraId="21AC4FD1" w14:textId="77777777" w:rsidTr="00E20B7B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3EC87874" w14:textId="77777777" w:rsidR="00E20B7B" w:rsidRPr="001C710A" w:rsidRDefault="00E20B7B" w:rsidP="00E20B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C1D70E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16.562,50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63F08E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3104178" w14:textId="1B61BDFC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961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E20B7B" w:rsidRPr="001C710A" w14:paraId="7074D93D" w14:textId="77777777" w:rsidTr="00E20B7B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6A7ED9BF" w14:textId="77777777" w:rsidR="00E20B7B" w:rsidRPr="001C710A" w:rsidRDefault="00E20B7B" w:rsidP="00E20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74568C" w14:textId="7B04EF85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28EA63" w14:textId="77777777" w:rsidR="00E20B7B" w:rsidRPr="001C710A" w:rsidRDefault="00E20B7B" w:rsidP="00E20B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5B4B447" w14:textId="2883B320" w:rsidR="00E20B7B" w:rsidRPr="001C710A" w:rsidRDefault="00E20B7B" w:rsidP="00E20B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961C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273B2AF1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4DBEE402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Izvor: 5981 Prenesena sredstva - pomoći - izvanproračunski korisnici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F3DFB77" w14:textId="09804098" w:rsidR="001C710A" w:rsidRPr="001C710A" w:rsidRDefault="002C3090" w:rsidP="002C30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7E4DCCB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31.289,50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1F74C69" w14:textId="211EA492" w:rsidR="001C710A" w:rsidRPr="001C710A" w:rsidRDefault="002C3090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4432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1C710A" w:rsidRPr="001C710A" w14:paraId="0799BA1A" w14:textId="77777777" w:rsidTr="001C710A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3EB2E61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05EF604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37.963,40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610A277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31.289,50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7356CBF" w14:textId="77777777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82,42</w:t>
            </w:r>
          </w:p>
        </w:tc>
      </w:tr>
      <w:tr w:rsidR="001C710A" w:rsidRPr="001C710A" w14:paraId="1122509F" w14:textId="77777777" w:rsidTr="00922DDE">
        <w:trPr>
          <w:trHeight w:val="283"/>
          <w:jc w:val="center"/>
        </w:trPr>
        <w:tc>
          <w:tcPr>
            <w:tcW w:w="6526" w:type="dxa"/>
            <w:shd w:val="clear" w:color="000000" w:fill="FFFFFF"/>
            <w:vAlign w:val="center"/>
            <w:hideMark/>
          </w:tcPr>
          <w:p w14:paraId="2F851B56" w14:textId="77777777" w:rsidR="001C710A" w:rsidRPr="001C710A" w:rsidRDefault="001C710A" w:rsidP="001C71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4213 Ceste, željeznice i ostali prometni objekti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0768C4F" w14:textId="0765A8A5" w:rsidR="001C710A" w:rsidRPr="001C710A" w:rsidRDefault="00922DDE" w:rsidP="00922D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D20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EF172E9" w14:textId="77777777" w:rsidR="001C710A" w:rsidRPr="001C710A" w:rsidRDefault="001C710A" w:rsidP="001C710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31.289,50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FD2480A" w14:textId="5F7B9888" w:rsidR="001C710A" w:rsidRPr="001C710A" w:rsidRDefault="001C710A" w:rsidP="001C71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710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E20B7B" w:rsidRPr="0019011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498CEE57" w14:textId="61651004" w:rsidR="007C01E6" w:rsidRDefault="007C01E6" w:rsidP="00922E8C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EFBF84C" w14:textId="4341082C" w:rsidR="000B3A72" w:rsidRPr="00CD5B87" w:rsidRDefault="000B3A72" w:rsidP="00EC6EAF">
      <w:pPr>
        <w:pStyle w:val="Naslov1"/>
      </w:pPr>
      <w:bookmarkStart w:id="11" w:name="_Toc14862484"/>
      <w:bookmarkStart w:id="12" w:name="_Toc224047544"/>
      <w:r w:rsidRPr="003E6AB6">
        <w:lastRenderedPageBreak/>
        <w:t>OBRAZLOŽENJE</w:t>
      </w:r>
      <w:r w:rsidR="006D68CD">
        <w:t xml:space="preserve"> </w:t>
      </w:r>
      <w:bookmarkEnd w:id="11"/>
      <w:r w:rsidR="008A44DE">
        <w:t>GODIŠNJEG IZVJEŠTAJA O IZVRŠENJU FINANCIJSKOG PLANA</w:t>
      </w:r>
      <w:bookmarkEnd w:id="12"/>
      <w:r w:rsidR="008A44DE">
        <w:t xml:space="preserve"> </w:t>
      </w:r>
    </w:p>
    <w:p w14:paraId="0AE2AF91" w14:textId="238672F5" w:rsidR="00C43B49" w:rsidRDefault="00C43B49" w:rsidP="00C43B49">
      <w:pPr>
        <w:spacing w:before="120" w:after="120"/>
        <w:jc w:val="both"/>
        <w:rPr>
          <w:rFonts w:cstheme="minorHAnsi"/>
        </w:rPr>
      </w:pPr>
      <w:r w:rsidRPr="007F3E75">
        <w:rPr>
          <w:rFonts w:cstheme="minorHAnsi"/>
        </w:rPr>
        <w:t xml:space="preserve">U općem i posebnom dijelu Prijedloga </w:t>
      </w:r>
      <w:r>
        <w:rPr>
          <w:rFonts w:cstheme="minorHAnsi"/>
        </w:rPr>
        <w:t xml:space="preserve">godišnjeg </w:t>
      </w:r>
      <w:r w:rsidRPr="007F3E75">
        <w:rPr>
          <w:rFonts w:cstheme="minorHAnsi"/>
        </w:rPr>
        <w:t xml:space="preserve">izvještaja o izvršenju financijskog plana </w:t>
      </w:r>
      <w:r>
        <w:rPr>
          <w:rFonts w:cstheme="minorHAnsi"/>
        </w:rPr>
        <w:t>za 202</w:t>
      </w:r>
      <w:r w:rsidR="00E91277">
        <w:rPr>
          <w:rFonts w:cstheme="minorHAnsi"/>
        </w:rPr>
        <w:t>5</w:t>
      </w:r>
      <w:r>
        <w:rPr>
          <w:rFonts w:cstheme="minorHAnsi"/>
        </w:rPr>
        <w:t xml:space="preserve">. godinu </w:t>
      </w:r>
      <w:r w:rsidRPr="007F3E75">
        <w:rPr>
          <w:rFonts w:cstheme="minorHAnsi"/>
        </w:rPr>
        <w:t>prezentirani su podaci o planiranim prihodima i primic</w:t>
      </w:r>
      <w:r>
        <w:rPr>
          <w:rFonts w:cstheme="minorHAnsi"/>
        </w:rPr>
        <w:t>ima, rashodima i izdacima kroz i</w:t>
      </w:r>
      <w:r w:rsidRPr="007F3E75">
        <w:rPr>
          <w:rFonts w:cstheme="minorHAnsi"/>
        </w:rPr>
        <w:t xml:space="preserve">zvorni plan </w:t>
      </w:r>
      <w:r>
        <w:rPr>
          <w:rFonts w:cstheme="minorHAnsi"/>
        </w:rPr>
        <w:t>kao i</w:t>
      </w:r>
      <w:r w:rsidRPr="007F3E75">
        <w:rPr>
          <w:rFonts w:cstheme="minorHAnsi"/>
        </w:rPr>
        <w:t xml:space="preserve"> p</w:t>
      </w:r>
      <w:r>
        <w:rPr>
          <w:rFonts w:cstheme="minorHAnsi"/>
        </w:rPr>
        <w:t>odaci o njihovom</w:t>
      </w:r>
      <w:r w:rsidRPr="007F3E75">
        <w:rPr>
          <w:rFonts w:cstheme="minorHAnsi"/>
        </w:rPr>
        <w:t xml:space="preserve"> izvršenju u 202</w:t>
      </w:r>
      <w:r w:rsidR="00E91277">
        <w:rPr>
          <w:rFonts w:cstheme="minorHAnsi"/>
        </w:rPr>
        <w:t>5</w:t>
      </w:r>
      <w:r w:rsidRPr="007F3E75">
        <w:rPr>
          <w:rFonts w:cstheme="minorHAnsi"/>
        </w:rPr>
        <w:t xml:space="preserve">. </w:t>
      </w:r>
      <w:r>
        <w:rPr>
          <w:rFonts w:cstheme="minorHAnsi"/>
        </w:rPr>
        <w:t>godini. Sukladno Pravilniku, izvorni plan predstavlja zadnje izmjene i dopune plana za 202</w:t>
      </w:r>
      <w:r w:rsidR="00E91277">
        <w:rPr>
          <w:rFonts w:cstheme="minorHAnsi"/>
        </w:rPr>
        <w:t>5</w:t>
      </w:r>
      <w:r>
        <w:rPr>
          <w:rFonts w:cstheme="minorHAnsi"/>
        </w:rPr>
        <w:t xml:space="preserve">. godinu koje je usvojilo Upravno vijeće uz prethodnu suglasnost Županijske skupštine. U općem dijelu prikazani su </w:t>
      </w:r>
      <w:r w:rsidRPr="007F3E75">
        <w:rPr>
          <w:rFonts w:cstheme="minorHAnsi"/>
        </w:rPr>
        <w:t>usporedni podaci o ostvarenim prihodima i primicima, te iz</w:t>
      </w:r>
      <w:r>
        <w:rPr>
          <w:rFonts w:cstheme="minorHAnsi"/>
        </w:rPr>
        <w:t>vršenim rashodima i izdacima u 202</w:t>
      </w:r>
      <w:r w:rsidR="00E91277">
        <w:rPr>
          <w:rFonts w:cstheme="minorHAnsi"/>
        </w:rPr>
        <w:t>5</w:t>
      </w:r>
      <w:r w:rsidRPr="007F3E75">
        <w:rPr>
          <w:rFonts w:cstheme="minorHAnsi"/>
        </w:rPr>
        <w:t>. godini.</w:t>
      </w:r>
    </w:p>
    <w:p w14:paraId="708CE1DC" w14:textId="0800D36B" w:rsidR="000B3A72" w:rsidRDefault="000B3A72" w:rsidP="00BE7093">
      <w:pPr>
        <w:spacing w:after="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U nastavku slijedi obrazloženje ostvarenja prihoda</w:t>
      </w:r>
      <w:r w:rsidR="00060C53">
        <w:rPr>
          <w:rFonts w:cstheme="minorHAnsi"/>
        </w:rPr>
        <w:t xml:space="preserve"> i </w:t>
      </w:r>
      <w:r w:rsidR="00060C53" w:rsidRPr="007C0EC7">
        <w:rPr>
          <w:rFonts w:cstheme="minorHAnsi"/>
          <w:shd w:val="clear" w:color="auto" w:fill="FFFFFF" w:themeFill="background1"/>
        </w:rPr>
        <w:t>primitaka</w:t>
      </w:r>
      <w:r w:rsidR="00377A58" w:rsidRPr="007C0EC7">
        <w:rPr>
          <w:rFonts w:cstheme="minorHAnsi"/>
          <w:shd w:val="clear" w:color="auto" w:fill="FFFFFF" w:themeFill="background1"/>
        </w:rPr>
        <w:t>,</w:t>
      </w:r>
      <w:r w:rsidR="00377A58">
        <w:rPr>
          <w:rFonts w:cstheme="minorHAnsi"/>
        </w:rPr>
        <w:t xml:space="preserve"> </w:t>
      </w:r>
      <w:r w:rsidRPr="00CD5B87">
        <w:rPr>
          <w:rFonts w:cstheme="minorHAnsi"/>
        </w:rPr>
        <w:t>te i</w:t>
      </w:r>
      <w:r w:rsidR="006D68CD">
        <w:rPr>
          <w:rFonts w:cstheme="minorHAnsi"/>
        </w:rPr>
        <w:t xml:space="preserve">zvršenja rashoda i izdataka za </w:t>
      </w:r>
      <w:r w:rsidRPr="00CD5B87">
        <w:rPr>
          <w:rFonts w:cstheme="minorHAnsi"/>
        </w:rPr>
        <w:t>202</w:t>
      </w:r>
      <w:r w:rsidR="00E91277">
        <w:rPr>
          <w:rFonts w:cstheme="minorHAnsi"/>
        </w:rPr>
        <w:t>5</w:t>
      </w:r>
      <w:r w:rsidRPr="00CD5B87">
        <w:rPr>
          <w:rFonts w:cstheme="minorHAnsi"/>
        </w:rPr>
        <w:t>. godin</w:t>
      </w:r>
      <w:r w:rsidR="00970143">
        <w:rPr>
          <w:rFonts w:cstheme="minorHAnsi"/>
        </w:rPr>
        <w:t>u</w:t>
      </w:r>
      <w:r w:rsidRPr="00CD5B87">
        <w:rPr>
          <w:rFonts w:cstheme="minorHAnsi"/>
        </w:rPr>
        <w:t xml:space="preserve"> u odnosu na planske veličine s obrazloženjem njihova ostvarenja</w:t>
      </w:r>
      <w:r w:rsidR="00090D3B">
        <w:rPr>
          <w:rFonts w:cstheme="minorHAnsi"/>
        </w:rPr>
        <w:t>/izvršenja</w:t>
      </w:r>
      <w:r w:rsidRPr="00CD5B87">
        <w:rPr>
          <w:rFonts w:cstheme="minorHAnsi"/>
        </w:rPr>
        <w:t xml:space="preserve"> i pojašnjenjem većih odstupanja u odnosu na plan kao i na </w:t>
      </w:r>
      <w:r w:rsidR="00090D3B">
        <w:rPr>
          <w:rFonts w:cstheme="minorHAnsi"/>
        </w:rPr>
        <w:t>ostvarenje/</w:t>
      </w:r>
      <w:r w:rsidRPr="00CD5B87">
        <w:rPr>
          <w:rFonts w:cstheme="minorHAnsi"/>
        </w:rPr>
        <w:t>izvršenje u is</w:t>
      </w:r>
      <w:r w:rsidR="000A0266">
        <w:rPr>
          <w:rFonts w:cstheme="minorHAnsi"/>
        </w:rPr>
        <w:t>tom razdoblju prethodne godine.</w:t>
      </w:r>
    </w:p>
    <w:p w14:paraId="0AEA19FF" w14:textId="4D7D8007" w:rsidR="000B3A72" w:rsidRPr="005E0D04" w:rsidRDefault="008A44DE" w:rsidP="00EC6EAF">
      <w:pPr>
        <w:pStyle w:val="Naslov2"/>
      </w:pPr>
      <w:bookmarkStart w:id="13" w:name="_Toc224047545"/>
      <w:r>
        <w:t>OBRAZLOŽENJE OPĆEG DIJELA IZVJEŠTAJA O IZVRŠENJU FINANCIJSKOG PLANA</w:t>
      </w:r>
      <w:bookmarkEnd w:id="13"/>
    </w:p>
    <w:p w14:paraId="1E224EDD" w14:textId="4B1C2F2D" w:rsidR="0076058E" w:rsidRDefault="008A44DE" w:rsidP="00060C53">
      <w:pPr>
        <w:spacing w:after="120" w:line="240" w:lineRule="auto"/>
        <w:ind w:right="-57"/>
        <w:jc w:val="both"/>
        <w:rPr>
          <w:rFonts w:cstheme="minorHAnsi"/>
        </w:rPr>
      </w:pPr>
      <w:r>
        <w:rPr>
          <w:rFonts w:cstheme="minorHAnsi"/>
        </w:rPr>
        <w:t>U T</w:t>
      </w:r>
      <w:r w:rsidR="000B3A72" w:rsidRPr="00CD5B87">
        <w:rPr>
          <w:rFonts w:cstheme="minorHAnsi"/>
        </w:rPr>
        <w:t>ablici 1. koja slijedi daje se pregled ostvarenih prihoda</w:t>
      </w:r>
      <w:r w:rsidR="00377A58">
        <w:rPr>
          <w:rFonts w:cstheme="minorHAnsi"/>
        </w:rPr>
        <w:t xml:space="preserve"> i primitaka,</w:t>
      </w:r>
      <w:r w:rsidR="000B3A72" w:rsidRPr="00CD5B87">
        <w:rPr>
          <w:rFonts w:cstheme="minorHAnsi"/>
        </w:rPr>
        <w:t xml:space="preserve"> t</w:t>
      </w:r>
      <w:r w:rsidR="006E1F33">
        <w:rPr>
          <w:rFonts w:cstheme="minorHAnsi"/>
        </w:rPr>
        <w:t>e izvršenih rashoda i izdataka F</w:t>
      </w:r>
      <w:r w:rsidR="000B3A72" w:rsidRPr="00CD5B87">
        <w:rPr>
          <w:rFonts w:cstheme="minorHAnsi"/>
        </w:rPr>
        <w:t>inancijskog plana Županijske uprave za ceste Primorsko-goranske županije za 202</w:t>
      </w:r>
      <w:r w:rsidR="00E91277">
        <w:rPr>
          <w:rFonts w:cstheme="minorHAnsi"/>
        </w:rPr>
        <w:t>5</w:t>
      </w:r>
      <w:r w:rsidR="002B0DEF">
        <w:rPr>
          <w:rFonts w:cstheme="minorHAnsi"/>
        </w:rPr>
        <w:t>. godinu</w:t>
      </w:r>
      <w:r w:rsidR="000B3A72" w:rsidRPr="00CD5B87">
        <w:rPr>
          <w:rFonts w:cstheme="minorHAnsi"/>
        </w:rPr>
        <w:t xml:space="preserve"> s usporednim pokazateljima izvršenja u is</w:t>
      </w:r>
      <w:bookmarkStart w:id="14" w:name="_Toc14864203"/>
      <w:r w:rsidR="00006BBF">
        <w:rPr>
          <w:rFonts w:cstheme="minorHAnsi"/>
        </w:rPr>
        <w:t xml:space="preserve">tom razdoblju prethodne godine i </w:t>
      </w:r>
      <w:r w:rsidR="00006BBF" w:rsidRPr="00CD5B87">
        <w:rPr>
          <w:rFonts w:cstheme="minorHAnsi"/>
        </w:rPr>
        <w:t>s usporednim pokazateljima</w:t>
      </w:r>
      <w:r w:rsidR="00006BBF">
        <w:rPr>
          <w:rFonts w:cstheme="minorHAnsi"/>
        </w:rPr>
        <w:t xml:space="preserve"> izvršenja izvornog plana za 2025. godinu.</w:t>
      </w:r>
    </w:p>
    <w:p w14:paraId="7D7C697E" w14:textId="14F9A279" w:rsidR="0076058E" w:rsidRPr="0020248B" w:rsidRDefault="0076058E" w:rsidP="00F8051A">
      <w:pPr>
        <w:pStyle w:val="Opisslike"/>
        <w:keepNext/>
        <w:spacing w:after="120"/>
        <w:ind w:left="907" w:hanging="907"/>
        <w:jc w:val="both"/>
        <w:rPr>
          <w:i w:val="0"/>
          <w:color w:val="222A35" w:themeColor="text2" w:themeShade="80"/>
          <w:sz w:val="22"/>
          <w:szCs w:val="22"/>
        </w:rPr>
      </w:pPr>
      <w:bookmarkStart w:id="15" w:name="_Toc109651255"/>
      <w:bookmarkStart w:id="16" w:name="_Toc224047001"/>
      <w:bookmarkEnd w:id="14"/>
      <w:r w:rsidRPr="0020248B">
        <w:rPr>
          <w:i w:val="0"/>
          <w:color w:val="222A35" w:themeColor="text2" w:themeShade="80"/>
          <w:sz w:val="22"/>
        </w:rPr>
        <w:t xml:space="preserve">Tablica </w:t>
      </w:r>
      <w:r w:rsidR="003C0277" w:rsidRPr="0020248B">
        <w:rPr>
          <w:i w:val="0"/>
          <w:color w:val="222A35" w:themeColor="text2" w:themeShade="80"/>
          <w:sz w:val="22"/>
        </w:rPr>
        <w:fldChar w:fldCharType="begin"/>
      </w:r>
      <w:r w:rsidR="003C0277" w:rsidRPr="0020248B">
        <w:rPr>
          <w:i w:val="0"/>
          <w:color w:val="222A35" w:themeColor="text2" w:themeShade="80"/>
          <w:sz w:val="22"/>
        </w:rPr>
        <w:instrText xml:space="preserve"> SEQ Tablica \* ARABIC </w:instrText>
      </w:r>
      <w:r w:rsidR="003C0277" w:rsidRPr="0020248B">
        <w:rPr>
          <w:i w:val="0"/>
          <w:color w:val="222A35" w:themeColor="text2" w:themeShade="80"/>
          <w:sz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</w:rPr>
        <w:t>1</w:t>
      </w:r>
      <w:r w:rsidR="003C0277" w:rsidRPr="0020248B">
        <w:rPr>
          <w:i w:val="0"/>
          <w:color w:val="222A35" w:themeColor="text2" w:themeShade="80"/>
          <w:sz w:val="22"/>
        </w:rPr>
        <w:fldChar w:fldCharType="end"/>
      </w:r>
      <w:r w:rsidR="00C454EF" w:rsidRPr="0020248B">
        <w:rPr>
          <w:i w:val="0"/>
          <w:color w:val="222A35" w:themeColor="text2" w:themeShade="80"/>
          <w:sz w:val="22"/>
        </w:rPr>
        <w:t>.</w:t>
      </w:r>
      <w:r w:rsidR="00383C19" w:rsidRPr="0020248B">
        <w:rPr>
          <w:i w:val="0"/>
          <w:color w:val="222A35" w:themeColor="text2" w:themeShade="80"/>
          <w:sz w:val="22"/>
        </w:rPr>
        <w:t xml:space="preserve"> </w:t>
      </w:r>
      <w:r w:rsidRPr="0020248B">
        <w:rPr>
          <w:i w:val="0"/>
          <w:color w:val="222A35" w:themeColor="text2" w:themeShade="80"/>
          <w:sz w:val="22"/>
        </w:rPr>
        <w:t xml:space="preserve">Izvršenje </w:t>
      </w:r>
      <w:r w:rsidR="006E1F33" w:rsidRPr="0020248B">
        <w:rPr>
          <w:i w:val="0"/>
          <w:color w:val="222A35" w:themeColor="text2" w:themeShade="80"/>
          <w:sz w:val="22"/>
        </w:rPr>
        <w:t>f</w:t>
      </w:r>
      <w:r w:rsidR="00D10C51">
        <w:rPr>
          <w:i w:val="0"/>
          <w:color w:val="222A35" w:themeColor="text2" w:themeShade="80"/>
          <w:sz w:val="22"/>
        </w:rPr>
        <w:t>inancijskog plana u</w:t>
      </w:r>
      <w:r w:rsidRPr="0020248B">
        <w:rPr>
          <w:i w:val="0"/>
          <w:color w:val="222A35" w:themeColor="text2" w:themeShade="80"/>
          <w:sz w:val="22"/>
        </w:rPr>
        <w:t xml:space="preserve"> </w:t>
      </w:r>
      <w:r w:rsidRPr="0020248B">
        <w:rPr>
          <w:i w:val="0"/>
          <w:color w:val="222A35" w:themeColor="text2" w:themeShade="80"/>
          <w:sz w:val="22"/>
          <w:szCs w:val="22"/>
        </w:rPr>
        <w:t>202</w:t>
      </w:r>
      <w:r w:rsidR="00D601A3">
        <w:rPr>
          <w:i w:val="0"/>
          <w:color w:val="222A35" w:themeColor="text2" w:themeShade="80"/>
          <w:sz w:val="22"/>
          <w:szCs w:val="22"/>
        </w:rPr>
        <w:t>5</w:t>
      </w:r>
      <w:r w:rsidR="00D10C51">
        <w:rPr>
          <w:i w:val="0"/>
          <w:color w:val="222A35" w:themeColor="text2" w:themeShade="80"/>
          <w:sz w:val="22"/>
          <w:szCs w:val="22"/>
        </w:rPr>
        <w:t>. godini</w:t>
      </w:r>
      <w:r w:rsidRPr="0020248B">
        <w:rPr>
          <w:i w:val="0"/>
          <w:color w:val="222A35" w:themeColor="text2" w:themeShade="80"/>
          <w:sz w:val="22"/>
          <w:szCs w:val="22"/>
        </w:rPr>
        <w:t xml:space="preserve"> s usporednim pokazateljima izvršenja u 202</w:t>
      </w:r>
      <w:r w:rsidR="00D601A3">
        <w:rPr>
          <w:i w:val="0"/>
          <w:color w:val="222A35" w:themeColor="text2" w:themeShade="80"/>
          <w:sz w:val="22"/>
          <w:szCs w:val="22"/>
        </w:rPr>
        <w:t>4</w:t>
      </w:r>
      <w:r w:rsidRPr="0020248B">
        <w:rPr>
          <w:i w:val="0"/>
          <w:color w:val="222A35" w:themeColor="text2" w:themeShade="80"/>
          <w:sz w:val="22"/>
          <w:szCs w:val="22"/>
        </w:rPr>
        <w:t>. godin</w:t>
      </w:r>
      <w:bookmarkEnd w:id="15"/>
      <w:r w:rsidR="00534747" w:rsidRPr="0020248B">
        <w:rPr>
          <w:i w:val="0"/>
          <w:color w:val="222A35" w:themeColor="text2" w:themeShade="80"/>
          <w:sz w:val="22"/>
          <w:szCs w:val="22"/>
        </w:rPr>
        <w:t>i</w:t>
      </w:r>
      <w:r w:rsidR="004A3109">
        <w:rPr>
          <w:i w:val="0"/>
          <w:color w:val="222A35" w:themeColor="text2" w:themeShade="80"/>
          <w:sz w:val="22"/>
          <w:szCs w:val="22"/>
        </w:rPr>
        <w:t xml:space="preserve"> i izvornog plana za 2025. godinu.</w:t>
      </w:r>
      <w:bookmarkEnd w:id="16"/>
    </w:p>
    <w:tbl>
      <w:tblPr>
        <w:tblW w:w="9866" w:type="dxa"/>
        <w:jc w:val="center"/>
        <w:tblLook w:val="04A0" w:firstRow="1" w:lastRow="0" w:firstColumn="1" w:lastColumn="0" w:noHBand="0" w:noVBand="1"/>
      </w:tblPr>
      <w:tblGrid>
        <w:gridCol w:w="762"/>
        <w:gridCol w:w="3853"/>
        <w:gridCol w:w="1271"/>
        <w:gridCol w:w="1271"/>
        <w:gridCol w:w="1271"/>
        <w:gridCol w:w="719"/>
        <w:gridCol w:w="719"/>
      </w:tblGrid>
      <w:tr w:rsidR="00D04362" w:rsidRPr="00D04362" w14:paraId="67634DA2" w14:textId="77777777" w:rsidTr="00D04362">
        <w:trPr>
          <w:trHeight w:val="480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D54D8E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bookmarkStart w:id="17" w:name="_Toc14862486"/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Red.br.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0D2A4F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91CFDDA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437646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</w:t>
            </w: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1D52B7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2025.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FB16EA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5./3.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AAE014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5./4. </w:t>
            </w:r>
          </w:p>
        </w:tc>
      </w:tr>
      <w:tr w:rsidR="00D04362" w:rsidRPr="00D04362" w14:paraId="6BB319BF" w14:textId="77777777" w:rsidTr="002C2E3B">
        <w:trPr>
          <w:trHeight w:val="64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A62F0B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67A81D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A948B0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564DFF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FB031C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B309FD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92E6F5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</w:tr>
      <w:tr w:rsidR="00D04362" w:rsidRPr="00D04362" w14:paraId="2A4BE054" w14:textId="77777777" w:rsidTr="002C2E3B">
        <w:trPr>
          <w:trHeight w:val="283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0EF9EEF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B11C0E" w14:textId="77777777" w:rsidR="00D04362" w:rsidRPr="00D04362" w:rsidRDefault="00D04362" w:rsidP="00D043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UKUPNI PRIHODI I PRIMICI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8E07C7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14.385.897,50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CD03BB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17.392.149,52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714FDBE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16.626.451,70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B572F93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115,57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C8F42B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95,60</w:t>
            </w:r>
          </w:p>
        </w:tc>
      </w:tr>
      <w:tr w:rsidR="00D04362" w:rsidRPr="00D04362" w14:paraId="6A909A79" w14:textId="77777777" w:rsidTr="002C2E3B">
        <w:trPr>
          <w:trHeight w:val="283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ADAA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209D" w14:textId="77777777" w:rsidR="00D04362" w:rsidRPr="00D04362" w:rsidRDefault="00D04362" w:rsidP="00D043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CFF2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14.385.897,50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1577F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17.392.149,52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68225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16.626.451,70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BAB91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115,57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C99F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95,60</w:t>
            </w:r>
          </w:p>
        </w:tc>
      </w:tr>
      <w:tr w:rsidR="00D04362" w:rsidRPr="00D04362" w14:paraId="226DFC61" w14:textId="77777777" w:rsidTr="002C2E3B">
        <w:trPr>
          <w:trHeight w:val="283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F943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48FE" w14:textId="77777777" w:rsidR="00D04362" w:rsidRPr="00D04362" w:rsidRDefault="00D04362" w:rsidP="00D04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2751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14.380.396,50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2F9C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17.380.038,44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3DB4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16.626.091,70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9E78C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4D8CD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95,66</w:t>
            </w:r>
          </w:p>
        </w:tc>
      </w:tr>
      <w:tr w:rsidR="00D04362" w:rsidRPr="00D04362" w14:paraId="48AA0D3F" w14:textId="77777777" w:rsidTr="002C2E3B">
        <w:trPr>
          <w:trHeight w:val="283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C8C9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C606" w14:textId="77777777" w:rsidR="00D04362" w:rsidRPr="00D04362" w:rsidRDefault="00D04362" w:rsidP="00D04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A986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5.501,00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74F40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12.111,08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0E5C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BBD89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E9A5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2,97</w:t>
            </w:r>
          </w:p>
        </w:tc>
      </w:tr>
      <w:tr w:rsidR="00D04362" w:rsidRPr="00D04362" w14:paraId="724C5212" w14:textId="77777777" w:rsidTr="002C2E3B">
        <w:trPr>
          <w:trHeight w:val="283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ECB0D78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ED0776F" w14:textId="77777777" w:rsidR="00D04362" w:rsidRPr="00D04362" w:rsidRDefault="00D04362" w:rsidP="00D043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UKUPNI RASHODI I IZDACI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E8291B2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15.127.450,40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21C5898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20.032.861,59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7F8DAB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16.416.709,29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C6AB9C8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108,52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65ED45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81,95</w:t>
            </w:r>
          </w:p>
        </w:tc>
      </w:tr>
      <w:tr w:rsidR="00D04362" w:rsidRPr="00D04362" w14:paraId="1B11DA5B" w14:textId="77777777" w:rsidTr="002C2E3B">
        <w:trPr>
          <w:trHeight w:val="283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6CDB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DF231" w14:textId="77777777" w:rsidR="00D04362" w:rsidRPr="00D04362" w:rsidRDefault="00D04362" w:rsidP="00D043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0F32D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14.727.450,40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FA16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19.632.861,59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F7AF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16.016.709,29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DB850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108,75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9055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81,58</w:t>
            </w:r>
          </w:p>
        </w:tc>
      </w:tr>
      <w:tr w:rsidR="00D04362" w:rsidRPr="00D04362" w14:paraId="1E21D562" w14:textId="77777777" w:rsidTr="002C2E3B">
        <w:trPr>
          <w:trHeight w:val="283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2A7DB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2.1.1.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4B61" w14:textId="77777777" w:rsidR="00D04362" w:rsidRPr="00D04362" w:rsidRDefault="00D04362" w:rsidP="00D04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ECBBE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13.743.403,67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E31C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15.503.086,29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76DA8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13.092.199,96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6B79F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95,26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36B1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84,45</w:t>
            </w:r>
          </w:p>
        </w:tc>
      </w:tr>
      <w:tr w:rsidR="00D04362" w:rsidRPr="00D04362" w14:paraId="00F5A70D" w14:textId="77777777" w:rsidTr="002C2E3B">
        <w:trPr>
          <w:trHeight w:val="283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C31B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A69F" w14:textId="77777777" w:rsidR="00D04362" w:rsidRPr="00D04362" w:rsidRDefault="00D04362" w:rsidP="00D043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4E400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984.046,73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9D5C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4.129.775,30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7F3B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2.924.509,33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DC5BC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297,19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AC31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70,82</w:t>
            </w:r>
          </w:p>
        </w:tc>
      </w:tr>
      <w:tr w:rsidR="00D04362" w:rsidRPr="00D04362" w14:paraId="09A77D57" w14:textId="77777777" w:rsidTr="002C2E3B">
        <w:trPr>
          <w:trHeight w:val="283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49A1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2.2.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39043" w14:textId="77777777" w:rsidR="00D04362" w:rsidRPr="00D04362" w:rsidRDefault="00D04362" w:rsidP="00D043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23992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79112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54345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27ED6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8D099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D04362" w:rsidRPr="00D04362" w14:paraId="1A9C57F5" w14:textId="77777777" w:rsidTr="002C2E3B">
        <w:trPr>
          <w:trHeight w:val="283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801A77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2843959" w14:textId="77777777" w:rsidR="00D04362" w:rsidRPr="00D04362" w:rsidRDefault="00D04362" w:rsidP="00D043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PRENESENA SREDSTVA IZ PRETHODNE GODINE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598D762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3.382.264,97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8BB274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2.640.712,07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149DC8B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2.634.038,17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9E7026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77,88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414FBA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99,75</w:t>
            </w:r>
          </w:p>
        </w:tc>
      </w:tr>
      <w:tr w:rsidR="00D04362" w:rsidRPr="00D04362" w14:paraId="125392A9" w14:textId="77777777" w:rsidTr="002C2E3B">
        <w:trPr>
          <w:trHeight w:val="283"/>
          <w:jc w:val="center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AE70D1E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CEF442B" w14:textId="77777777" w:rsidR="00D04362" w:rsidRPr="00D04362" w:rsidRDefault="00D04362" w:rsidP="00D043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VIŠAK/MANJAK PRIHODA (1-2+3)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216DA4B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2.640.712,07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1C163AF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31A14C2" w14:textId="77777777" w:rsidR="00D04362" w:rsidRPr="00D04362" w:rsidRDefault="00D04362" w:rsidP="00D043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2.843.780,58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A9B0456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107,69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8021104" w14:textId="77777777" w:rsidR="00D04362" w:rsidRPr="00D04362" w:rsidRDefault="00D04362" w:rsidP="00D043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0436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049CA0F2" w14:textId="77777777" w:rsidR="00375A12" w:rsidRDefault="00375A12" w:rsidP="00375A12">
      <w:pPr>
        <w:spacing w:before="240" w:after="120"/>
        <w:jc w:val="both"/>
        <w:rPr>
          <w:rFonts w:cstheme="minorHAnsi"/>
        </w:rPr>
      </w:pPr>
      <w:r w:rsidRPr="007F3E75">
        <w:rPr>
          <w:rFonts w:cstheme="minorHAnsi"/>
        </w:rPr>
        <w:t>Iz prezentiranih podataka proizlazi sljedeće:</w:t>
      </w:r>
    </w:p>
    <w:p w14:paraId="3A45D326" w14:textId="3252772D" w:rsidR="00C30B17" w:rsidRDefault="00375A12" w:rsidP="00375A12">
      <w:pPr>
        <w:spacing w:before="120" w:after="120"/>
        <w:jc w:val="both"/>
        <w:rPr>
          <w:rFonts w:cstheme="minorHAnsi"/>
        </w:rPr>
      </w:pPr>
      <w:r w:rsidRPr="001A676B">
        <w:rPr>
          <w:rFonts w:cstheme="minorHAnsi"/>
          <w:b/>
        </w:rPr>
        <w:t xml:space="preserve">Ukupno raspoloživa sredstva </w:t>
      </w:r>
      <w:r w:rsidRPr="001A676B">
        <w:rPr>
          <w:rFonts w:cstheme="minorHAnsi"/>
        </w:rPr>
        <w:t xml:space="preserve">(ostvareni ukupni prihodi </w:t>
      </w:r>
      <w:r w:rsidR="0039411F">
        <w:rPr>
          <w:rFonts w:cstheme="minorHAnsi"/>
        </w:rPr>
        <w:t xml:space="preserve">i primici </w:t>
      </w:r>
      <w:r w:rsidRPr="001A676B">
        <w:rPr>
          <w:rFonts w:cstheme="minorHAnsi"/>
        </w:rPr>
        <w:t>uvećani za višak prihoda prenesen iz prethodne godine) Županijske uprave za cest</w:t>
      </w:r>
      <w:r>
        <w:rPr>
          <w:rFonts w:cstheme="minorHAnsi"/>
        </w:rPr>
        <w:t>e Primorsko-goranske županije u</w:t>
      </w:r>
      <w:r w:rsidRPr="001A676B">
        <w:rPr>
          <w:rFonts w:cstheme="minorHAnsi"/>
        </w:rPr>
        <w:t xml:space="preserve"> 202</w:t>
      </w:r>
      <w:r w:rsidR="00547BDB">
        <w:rPr>
          <w:rFonts w:cstheme="minorHAnsi"/>
        </w:rPr>
        <w:t>5</w:t>
      </w:r>
      <w:r>
        <w:rPr>
          <w:rFonts w:cstheme="minorHAnsi"/>
        </w:rPr>
        <w:t>. godini</w:t>
      </w:r>
      <w:r w:rsidR="0079011D">
        <w:rPr>
          <w:rFonts w:cstheme="minorHAnsi"/>
        </w:rPr>
        <w:t xml:space="preserve"> iznose</w:t>
      </w:r>
      <w:r w:rsidRPr="001A676B">
        <w:rPr>
          <w:rFonts w:cstheme="minorHAnsi"/>
        </w:rPr>
        <w:t xml:space="preserve"> </w:t>
      </w:r>
      <w:r w:rsidR="00547BDB">
        <w:rPr>
          <w:rFonts w:cstheme="minorHAnsi"/>
          <w:b/>
        </w:rPr>
        <w:t>19.260.489,87</w:t>
      </w:r>
      <w:r w:rsidRPr="00375A12">
        <w:rPr>
          <w:rFonts w:cstheme="minorHAnsi"/>
          <w:b/>
        </w:rPr>
        <w:t xml:space="preserve"> eur</w:t>
      </w:r>
      <w:r w:rsidR="005C5DFB">
        <w:rPr>
          <w:rFonts w:cstheme="minorHAnsi"/>
          <w:b/>
        </w:rPr>
        <w:t>a</w:t>
      </w:r>
      <w:r>
        <w:rPr>
          <w:rFonts w:cstheme="minorHAnsi"/>
        </w:rPr>
        <w:t xml:space="preserve"> što je u odnosu na planirana raspoloživa sredstva (u iznosu od </w:t>
      </w:r>
      <w:r w:rsidR="00547BDB">
        <w:rPr>
          <w:rFonts w:cstheme="minorHAnsi"/>
        </w:rPr>
        <w:t>20.032.861,59</w:t>
      </w:r>
      <w:r w:rsidR="00C30B17">
        <w:rPr>
          <w:rFonts w:cstheme="minorHAnsi"/>
        </w:rPr>
        <w:t xml:space="preserve"> eur</w:t>
      </w:r>
      <w:r w:rsidR="005C5DFB">
        <w:rPr>
          <w:rFonts w:cstheme="minorHAnsi"/>
        </w:rPr>
        <w:t>a</w:t>
      </w:r>
      <w:r>
        <w:rPr>
          <w:rFonts w:cstheme="minorHAnsi"/>
        </w:rPr>
        <w:t xml:space="preserve">) </w:t>
      </w:r>
      <w:r w:rsidR="00C30B17">
        <w:rPr>
          <w:rFonts w:cstheme="minorHAnsi"/>
        </w:rPr>
        <w:t xml:space="preserve">manje </w:t>
      </w:r>
      <w:r>
        <w:rPr>
          <w:rFonts w:cstheme="minorHAnsi"/>
        </w:rPr>
        <w:t xml:space="preserve">za </w:t>
      </w:r>
      <w:r w:rsidR="00547BDB">
        <w:rPr>
          <w:rFonts w:cstheme="minorHAnsi"/>
        </w:rPr>
        <w:t>772.371,72</w:t>
      </w:r>
      <w:r>
        <w:rPr>
          <w:rFonts w:cstheme="minorHAnsi"/>
        </w:rPr>
        <w:t xml:space="preserve"> </w:t>
      </w:r>
      <w:r w:rsidR="00C30B17">
        <w:rPr>
          <w:rFonts w:cstheme="minorHAnsi"/>
        </w:rPr>
        <w:t>eur</w:t>
      </w:r>
      <w:r w:rsidR="00B6613E">
        <w:rPr>
          <w:rFonts w:cstheme="minorHAnsi"/>
        </w:rPr>
        <w:t>a</w:t>
      </w:r>
      <w:r>
        <w:rPr>
          <w:rFonts w:cstheme="minorHAnsi"/>
        </w:rPr>
        <w:t xml:space="preserve"> ili </w:t>
      </w:r>
      <w:r w:rsidR="003D76FC">
        <w:rPr>
          <w:rFonts w:cstheme="minorHAnsi"/>
        </w:rPr>
        <w:t>3,86</w:t>
      </w:r>
      <w:r w:rsidR="00B6613E">
        <w:rPr>
          <w:rFonts w:cstheme="minorHAnsi"/>
        </w:rPr>
        <w:t>%.</w:t>
      </w:r>
    </w:p>
    <w:p w14:paraId="07D72807" w14:textId="556A6162" w:rsidR="00375A12" w:rsidRDefault="00B6613E" w:rsidP="00375A12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>U usporedbi s</w:t>
      </w:r>
      <w:r w:rsidR="0079011D">
        <w:rPr>
          <w:rFonts w:cstheme="minorHAnsi"/>
        </w:rPr>
        <w:t xml:space="preserve"> prethodnom godinom </w:t>
      </w:r>
      <w:r w:rsidR="00375A12" w:rsidRPr="001A676B">
        <w:rPr>
          <w:rFonts w:cstheme="minorHAnsi"/>
        </w:rPr>
        <w:t xml:space="preserve">ukupno </w:t>
      </w:r>
      <w:r w:rsidR="00375A12">
        <w:rPr>
          <w:rFonts w:cstheme="minorHAnsi"/>
        </w:rPr>
        <w:t xml:space="preserve">ostvarena </w:t>
      </w:r>
      <w:r w:rsidR="00375A12" w:rsidRPr="001A676B">
        <w:rPr>
          <w:rFonts w:cstheme="minorHAnsi"/>
        </w:rPr>
        <w:t>raspoloživa sredstva u 202</w:t>
      </w:r>
      <w:r w:rsidR="00FC1BB7">
        <w:rPr>
          <w:rFonts w:cstheme="minorHAnsi"/>
        </w:rPr>
        <w:t>5</w:t>
      </w:r>
      <w:r w:rsidR="00375A12">
        <w:rPr>
          <w:rFonts w:cstheme="minorHAnsi"/>
        </w:rPr>
        <w:t xml:space="preserve">. godini </w:t>
      </w:r>
      <w:r w:rsidR="00FC1BB7">
        <w:rPr>
          <w:rFonts w:cstheme="minorHAnsi"/>
        </w:rPr>
        <w:t>veća</w:t>
      </w:r>
      <w:r w:rsidR="00375A12">
        <w:rPr>
          <w:rFonts w:cstheme="minorHAnsi"/>
        </w:rPr>
        <w:t xml:space="preserve"> su za </w:t>
      </w:r>
      <w:r w:rsidR="00FC1BB7">
        <w:rPr>
          <w:rFonts w:cstheme="minorHAnsi"/>
        </w:rPr>
        <w:t>8,</w:t>
      </w:r>
      <w:r w:rsidR="003D76FC">
        <w:rPr>
          <w:rFonts w:cstheme="minorHAnsi"/>
        </w:rPr>
        <w:t>39</w:t>
      </w:r>
      <w:r w:rsidR="00375A12" w:rsidRPr="001A676B">
        <w:rPr>
          <w:rFonts w:cstheme="minorHAnsi"/>
        </w:rPr>
        <w:t>%.</w:t>
      </w:r>
    </w:p>
    <w:p w14:paraId="64274C4A" w14:textId="4A84959D" w:rsidR="00375A12" w:rsidRDefault="00375A12" w:rsidP="00375A12">
      <w:pPr>
        <w:spacing w:before="120" w:after="120"/>
        <w:jc w:val="both"/>
        <w:rPr>
          <w:rFonts w:cstheme="minorHAnsi"/>
        </w:rPr>
      </w:pPr>
      <w:r w:rsidRPr="001A676B">
        <w:rPr>
          <w:rFonts w:cstheme="minorHAnsi"/>
          <w:b/>
        </w:rPr>
        <w:t xml:space="preserve">Ukupni prihodi </w:t>
      </w:r>
      <w:r w:rsidR="00C30B17">
        <w:rPr>
          <w:rFonts w:cstheme="minorHAnsi"/>
          <w:b/>
        </w:rPr>
        <w:t xml:space="preserve">i primici </w:t>
      </w:r>
      <w:r>
        <w:rPr>
          <w:rFonts w:cstheme="minorHAnsi"/>
        </w:rPr>
        <w:t>ostva</w:t>
      </w:r>
      <w:r w:rsidR="00FC1BB7">
        <w:rPr>
          <w:rFonts w:cstheme="minorHAnsi"/>
        </w:rPr>
        <w:t>reni u 20</w:t>
      </w:r>
      <w:r w:rsidR="00034338">
        <w:rPr>
          <w:rFonts w:cstheme="minorHAnsi"/>
        </w:rPr>
        <w:t>25</w:t>
      </w:r>
      <w:r>
        <w:rPr>
          <w:rFonts w:cstheme="minorHAnsi"/>
        </w:rPr>
        <w:t>. godini iznose</w:t>
      </w:r>
      <w:r w:rsidRPr="001A676B">
        <w:rPr>
          <w:rFonts w:cstheme="minorHAnsi"/>
        </w:rPr>
        <w:t xml:space="preserve"> </w:t>
      </w:r>
      <w:r w:rsidR="00FC1BB7">
        <w:rPr>
          <w:rFonts w:cstheme="minorHAnsi"/>
          <w:b/>
        </w:rPr>
        <w:t>16.626.451,70</w:t>
      </w:r>
      <w:r w:rsidR="00C30B17">
        <w:rPr>
          <w:rFonts w:cstheme="minorHAnsi"/>
          <w:b/>
        </w:rPr>
        <w:t xml:space="preserve"> eur</w:t>
      </w:r>
      <w:r w:rsidR="00B6613E">
        <w:rPr>
          <w:rFonts w:cstheme="minorHAnsi"/>
          <w:b/>
        </w:rPr>
        <w:t>a</w:t>
      </w:r>
      <w:r w:rsidRPr="001A676B">
        <w:rPr>
          <w:rFonts w:cstheme="minorHAnsi"/>
          <w:b/>
        </w:rPr>
        <w:t xml:space="preserve"> </w:t>
      </w:r>
      <w:r>
        <w:rPr>
          <w:rFonts w:cstheme="minorHAnsi"/>
        </w:rPr>
        <w:t>odnosno</w:t>
      </w:r>
      <w:r w:rsidRPr="001A676B">
        <w:rPr>
          <w:rFonts w:cstheme="minorHAnsi"/>
        </w:rPr>
        <w:t xml:space="preserve"> </w:t>
      </w:r>
      <w:r w:rsidR="00FC1BB7">
        <w:rPr>
          <w:rFonts w:cstheme="minorHAnsi"/>
        </w:rPr>
        <w:t>95,60</w:t>
      </w:r>
      <w:r>
        <w:rPr>
          <w:rFonts w:cstheme="minorHAnsi"/>
        </w:rPr>
        <w:t>% godišnjeg plana.</w:t>
      </w:r>
    </w:p>
    <w:p w14:paraId="52A6921E" w14:textId="4DD1BB10" w:rsidR="00375A12" w:rsidRDefault="00375A12" w:rsidP="00375A12">
      <w:pPr>
        <w:spacing w:before="120" w:after="120"/>
        <w:jc w:val="both"/>
        <w:rPr>
          <w:rFonts w:cstheme="minorHAnsi"/>
        </w:rPr>
      </w:pPr>
      <w:r w:rsidRPr="001A676B">
        <w:rPr>
          <w:rFonts w:cstheme="minorHAnsi"/>
          <w:b/>
        </w:rPr>
        <w:t xml:space="preserve">Ukupni rashodi i izdaci </w:t>
      </w:r>
      <w:r w:rsidRPr="001A676B">
        <w:rPr>
          <w:rFonts w:cstheme="minorHAnsi"/>
        </w:rPr>
        <w:t>izvršeni su u iznosu</w:t>
      </w:r>
      <w:r>
        <w:rPr>
          <w:rFonts w:cstheme="minorHAnsi"/>
        </w:rPr>
        <w:t xml:space="preserve"> od </w:t>
      </w:r>
      <w:r w:rsidR="00FC1BB7">
        <w:rPr>
          <w:rFonts w:cstheme="minorHAnsi"/>
          <w:b/>
        </w:rPr>
        <w:t>16.416.709,29</w:t>
      </w:r>
      <w:r>
        <w:rPr>
          <w:rFonts w:cstheme="minorHAnsi"/>
          <w:b/>
        </w:rPr>
        <w:t xml:space="preserve"> </w:t>
      </w:r>
      <w:r w:rsidR="00C30B17">
        <w:rPr>
          <w:rFonts w:cstheme="minorHAnsi"/>
          <w:b/>
        </w:rPr>
        <w:t>eur</w:t>
      </w:r>
      <w:r w:rsidR="00B6613E">
        <w:rPr>
          <w:rFonts w:cstheme="minorHAnsi"/>
          <w:b/>
        </w:rPr>
        <w:t>a</w:t>
      </w:r>
      <w:r>
        <w:rPr>
          <w:rFonts w:cstheme="minorHAnsi"/>
        </w:rPr>
        <w:t xml:space="preserve"> odnosno </w:t>
      </w:r>
      <w:r w:rsidR="00FC1BB7">
        <w:rPr>
          <w:rFonts w:cstheme="minorHAnsi"/>
        </w:rPr>
        <w:t>81,95</w:t>
      </w:r>
      <w:r>
        <w:rPr>
          <w:rFonts w:cstheme="minorHAnsi"/>
        </w:rPr>
        <w:t>% godišnjeg plana.</w:t>
      </w:r>
    </w:p>
    <w:p w14:paraId="5B405D91" w14:textId="097DA123" w:rsidR="00375A12" w:rsidRDefault="00375A12" w:rsidP="00375A12">
      <w:pPr>
        <w:spacing w:before="120" w:after="120"/>
        <w:jc w:val="both"/>
        <w:rPr>
          <w:rFonts w:cstheme="minorHAnsi"/>
        </w:rPr>
      </w:pPr>
      <w:r w:rsidRPr="00AE14E0">
        <w:rPr>
          <w:rFonts w:cstheme="minorHAnsi"/>
          <w:b/>
        </w:rPr>
        <w:t xml:space="preserve">Razlika između raspoloživih sredstava te izvršenih rashoda i izdataka </w:t>
      </w:r>
      <w:r w:rsidRPr="00AE14E0">
        <w:rPr>
          <w:rFonts w:cstheme="minorHAnsi"/>
        </w:rPr>
        <w:t xml:space="preserve">na dan </w:t>
      </w:r>
      <w:r>
        <w:rPr>
          <w:rFonts w:cstheme="minorHAnsi"/>
        </w:rPr>
        <w:t xml:space="preserve">31. prosinca </w:t>
      </w:r>
      <w:r w:rsidRPr="00AE14E0">
        <w:rPr>
          <w:rFonts w:cstheme="minorHAnsi"/>
        </w:rPr>
        <w:t>202</w:t>
      </w:r>
      <w:r w:rsidR="00FC1BB7">
        <w:rPr>
          <w:rFonts w:cstheme="minorHAnsi"/>
        </w:rPr>
        <w:t>5</w:t>
      </w:r>
      <w:r w:rsidRPr="00AE14E0">
        <w:rPr>
          <w:rFonts w:cstheme="minorHAnsi"/>
        </w:rPr>
        <w:t xml:space="preserve">. godine iznosi </w:t>
      </w:r>
      <w:r w:rsidR="00FC1BB7">
        <w:rPr>
          <w:rFonts w:cstheme="minorHAnsi"/>
          <w:b/>
        </w:rPr>
        <w:t>2.843.780,58</w:t>
      </w:r>
      <w:r w:rsidR="0039411F">
        <w:rPr>
          <w:rFonts w:cstheme="minorHAnsi"/>
          <w:b/>
        </w:rPr>
        <w:t xml:space="preserve"> eur</w:t>
      </w:r>
      <w:r w:rsidR="00B6613E">
        <w:rPr>
          <w:rFonts w:cstheme="minorHAnsi"/>
          <w:b/>
        </w:rPr>
        <w:t>a</w:t>
      </w:r>
      <w:r w:rsidRPr="00AE14E0">
        <w:rPr>
          <w:rFonts w:cstheme="minorHAnsi"/>
        </w:rPr>
        <w:t xml:space="preserve"> i predstavlja višak prihoda raspoloživ u sljedećoj proračunskoj godini.</w:t>
      </w:r>
    </w:p>
    <w:p w14:paraId="4F526741" w14:textId="26E1AAE8" w:rsidR="00375A12" w:rsidRPr="0078340C" w:rsidRDefault="00375A12" w:rsidP="00375A12">
      <w:pPr>
        <w:spacing w:before="120" w:after="120"/>
        <w:jc w:val="both"/>
        <w:rPr>
          <w:rFonts w:cstheme="minorHAnsi"/>
        </w:rPr>
      </w:pPr>
      <w:r w:rsidRPr="0078340C">
        <w:rPr>
          <w:rFonts w:cstheme="minorHAnsi"/>
        </w:rPr>
        <w:t xml:space="preserve">Raspored rezultata poslovanja (viška prihoda) utvrđen je Odlukom o rasporedu rezultata poslovanja (KLASA: </w:t>
      </w:r>
      <w:r w:rsidR="008E4129">
        <w:rPr>
          <w:rFonts w:cstheme="minorHAnsi"/>
        </w:rPr>
        <w:t>025-01/26-01/3,</w:t>
      </w:r>
      <w:r w:rsidRPr="0078340C">
        <w:rPr>
          <w:rFonts w:cstheme="minorHAnsi"/>
        </w:rPr>
        <w:t xml:space="preserve"> URBROJ: </w:t>
      </w:r>
      <w:r w:rsidR="008E4129">
        <w:rPr>
          <w:rFonts w:cstheme="minorHAnsi"/>
        </w:rPr>
        <w:t>2170-48-01/02-26-1</w:t>
      </w:r>
      <w:r w:rsidRPr="0078340C">
        <w:rPr>
          <w:rFonts w:cstheme="minorHAnsi"/>
        </w:rPr>
        <w:t xml:space="preserve"> od </w:t>
      </w:r>
      <w:r w:rsidR="008E4129">
        <w:rPr>
          <w:rFonts w:cstheme="minorHAnsi"/>
        </w:rPr>
        <w:t>13.02.2026.</w:t>
      </w:r>
      <w:r w:rsidRPr="0078340C">
        <w:rPr>
          <w:rFonts w:cstheme="minorHAnsi"/>
        </w:rPr>
        <w:t xml:space="preserve"> godine) koja je donesena od strane Upravnog vijeća, a I. Izmjenama i dopunama </w:t>
      </w:r>
      <w:r w:rsidR="0079011D">
        <w:rPr>
          <w:rFonts w:cstheme="minorHAnsi"/>
        </w:rPr>
        <w:t xml:space="preserve">financijskog plana </w:t>
      </w:r>
      <w:r w:rsidRPr="0078340C">
        <w:rPr>
          <w:rFonts w:cstheme="minorHAnsi"/>
        </w:rPr>
        <w:t>isti će biti uključen u Financijski plan za 202</w:t>
      </w:r>
      <w:r w:rsidR="008E4129">
        <w:rPr>
          <w:rFonts w:cstheme="minorHAnsi"/>
        </w:rPr>
        <w:t>6</w:t>
      </w:r>
      <w:r w:rsidRPr="0078340C">
        <w:rPr>
          <w:rFonts w:cstheme="minorHAnsi"/>
        </w:rPr>
        <w:t>. godinu.</w:t>
      </w:r>
    </w:p>
    <w:p w14:paraId="14B1859B" w14:textId="1DFDD2CC" w:rsidR="005B02CA" w:rsidRDefault="008E4129" w:rsidP="008E4129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Na ostvarenje viška prihoda najviše su utjecale </w:t>
      </w:r>
      <w:r w:rsidR="00D25468">
        <w:rPr>
          <w:rFonts w:cstheme="minorHAnsi"/>
        </w:rPr>
        <w:t xml:space="preserve">preuzete ugovorene obveze </w:t>
      </w:r>
      <w:r w:rsidR="00375A12" w:rsidRPr="00232197">
        <w:rPr>
          <w:rFonts w:cstheme="minorHAnsi"/>
        </w:rPr>
        <w:t xml:space="preserve">u iznosu od </w:t>
      </w:r>
      <w:r>
        <w:rPr>
          <w:rFonts w:cstheme="minorHAnsi"/>
        </w:rPr>
        <w:t>1.980.129,53</w:t>
      </w:r>
      <w:r w:rsidR="00375A12" w:rsidRPr="00232197">
        <w:rPr>
          <w:rFonts w:cstheme="minorHAnsi"/>
        </w:rPr>
        <w:t xml:space="preserve"> </w:t>
      </w:r>
      <w:r w:rsidR="00232197" w:rsidRPr="00232197">
        <w:rPr>
          <w:rFonts w:cstheme="minorHAnsi"/>
        </w:rPr>
        <w:t>eur</w:t>
      </w:r>
      <w:r w:rsidR="0080362E">
        <w:rPr>
          <w:rFonts w:cstheme="minorHAnsi"/>
        </w:rPr>
        <w:t>a</w:t>
      </w:r>
      <w:r w:rsidR="00375A12" w:rsidRPr="00232197">
        <w:rPr>
          <w:rFonts w:cstheme="minorHAnsi"/>
        </w:rPr>
        <w:t xml:space="preserve"> koje nisu izvršene do kraja 202</w:t>
      </w:r>
      <w:r>
        <w:rPr>
          <w:rFonts w:cstheme="minorHAnsi"/>
        </w:rPr>
        <w:t>5</w:t>
      </w:r>
      <w:r w:rsidR="005B02CA">
        <w:rPr>
          <w:rFonts w:cstheme="minorHAnsi"/>
        </w:rPr>
        <w:t>. godine</w:t>
      </w:r>
      <w:r w:rsidR="00D25468">
        <w:rPr>
          <w:rFonts w:cstheme="minorHAnsi"/>
        </w:rPr>
        <w:t>,</w:t>
      </w:r>
      <w:r>
        <w:rPr>
          <w:rFonts w:cstheme="minorHAnsi"/>
        </w:rPr>
        <w:t xml:space="preserve"> te veća naplata naknada za ceste, korištenje cestovnog zemljišta i prava služnosti u visini 379.017,05 eura ili 2,87% više u odnosu na protekli period.</w:t>
      </w:r>
    </w:p>
    <w:p w14:paraId="2C64E98A" w14:textId="05D76EDF" w:rsidR="00375A12" w:rsidRPr="005E0D04" w:rsidRDefault="00375A12" w:rsidP="00375A12">
      <w:pPr>
        <w:spacing w:before="120" w:after="120"/>
        <w:jc w:val="both"/>
        <w:rPr>
          <w:rFonts w:cstheme="minorHAnsi"/>
        </w:rPr>
      </w:pPr>
      <w:r w:rsidRPr="005E0D04">
        <w:rPr>
          <w:rFonts w:cstheme="minorHAnsi"/>
        </w:rPr>
        <w:t>U nastavku se daje obrazloženje ostvarenih prihoda</w:t>
      </w:r>
      <w:r w:rsidR="004715D5">
        <w:rPr>
          <w:rFonts w:cstheme="minorHAnsi"/>
        </w:rPr>
        <w:t xml:space="preserve"> i primitaka</w:t>
      </w:r>
      <w:r w:rsidRPr="005E0D04">
        <w:rPr>
          <w:rFonts w:cstheme="minorHAnsi"/>
        </w:rPr>
        <w:t>, izvršenih rashoda i izdataka u 202</w:t>
      </w:r>
      <w:r w:rsidR="008E4129">
        <w:rPr>
          <w:rFonts w:cstheme="minorHAnsi"/>
        </w:rPr>
        <w:t>5</w:t>
      </w:r>
      <w:r w:rsidRPr="005E0D04">
        <w:rPr>
          <w:rFonts w:cstheme="minorHAnsi"/>
        </w:rPr>
        <w:t>. godini u odnosu na izvorni plan te usporedba s izvršenjem prethodne godine.</w:t>
      </w:r>
    </w:p>
    <w:p w14:paraId="53AD97CD" w14:textId="044FEDB2" w:rsidR="005E0D04" w:rsidRPr="00876748" w:rsidRDefault="005E0D04" w:rsidP="00EC6EAF">
      <w:pPr>
        <w:pStyle w:val="Naslov3"/>
      </w:pPr>
      <w:bookmarkStart w:id="18" w:name="_Toc224047546"/>
      <w:bookmarkEnd w:id="17"/>
      <w:r w:rsidRPr="00876748">
        <w:t>PRIHODI</w:t>
      </w:r>
      <w:bookmarkEnd w:id="18"/>
    </w:p>
    <w:p w14:paraId="42F4D06C" w14:textId="48FB4467" w:rsidR="000B3A72" w:rsidRDefault="004A3984" w:rsidP="00CB1707">
      <w:pPr>
        <w:spacing w:before="120" w:after="120" w:line="240" w:lineRule="auto"/>
        <w:jc w:val="both"/>
        <w:rPr>
          <w:rFonts w:cstheme="minorHAnsi"/>
        </w:rPr>
      </w:pPr>
      <w:r w:rsidRPr="00987844">
        <w:rPr>
          <w:rFonts w:cstheme="minorHAnsi"/>
        </w:rPr>
        <w:t>Prihode</w:t>
      </w:r>
      <w:r w:rsidRPr="00AF2920">
        <w:rPr>
          <w:rFonts w:cstheme="minorHAnsi"/>
          <w:b/>
        </w:rPr>
        <w:t xml:space="preserve"> </w:t>
      </w:r>
      <w:r>
        <w:rPr>
          <w:rFonts w:cstheme="minorHAnsi"/>
        </w:rPr>
        <w:t>Županijske uprave</w:t>
      </w:r>
      <w:r w:rsidR="000B3A72" w:rsidRPr="00CD5B87">
        <w:rPr>
          <w:rFonts w:cstheme="minorHAnsi"/>
        </w:rPr>
        <w:t xml:space="preserve"> za ceste Primorsko-goranske županije u 202</w:t>
      </w:r>
      <w:r w:rsidR="00B00621">
        <w:rPr>
          <w:rFonts w:cstheme="minorHAnsi"/>
        </w:rPr>
        <w:t>5</w:t>
      </w:r>
      <w:r w:rsidR="000B3A72" w:rsidRPr="00CD5B87">
        <w:rPr>
          <w:rFonts w:cstheme="minorHAnsi"/>
        </w:rPr>
        <w:t>. godin</w:t>
      </w:r>
      <w:r w:rsidR="00DB04F9">
        <w:rPr>
          <w:rFonts w:cstheme="minorHAnsi"/>
        </w:rPr>
        <w:t>i</w:t>
      </w:r>
      <w:r w:rsidR="000B3A72" w:rsidRPr="00CD5B87">
        <w:rPr>
          <w:rFonts w:cstheme="minorHAnsi"/>
        </w:rPr>
        <w:t xml:space="preserve"> čine prihodi p</w:t>
      </w:r>
      <w:r w:rsidR="00CB1707">
        <w:rPr>
          <w:rFonts w:cstheme="minorHAnsi"/>
        </w:rPr>
        <w:t xml:space="preserve">oslovanja u iznosu od </w:t>
      </w:r>
      <w:r w:rsidR="00B00621">
        <w:rPr>
          <w:rFonts w:cstheme="minorHAnsi"/>
        </w:rPr>
        <w:t>16.626.091,70</w:t>
      </w:r>
      <w:r w:rsidR="002B0DEF">
        <w:rPr>
          <w:rFonts w:cstheme="minorHAnsi"/>
        </w:rPr>
        <w:t xml:space="preserve"> eur</w:t>
      </w:r>
      <w:r w:rsidR="00180C02">
        <w:rPr>
          <w:rFonts w:cstheme="minorHAnsi"/>
        </w:rPr>
        <w:t>a i</w:t>
      </w:r>
      <w:r w:rsidR="001675BC">
        <w:rPr>
          <w:rFonts w:cstheme="minorHAnsi"/>
        </w:rPr>
        <w:t xml:space="preserve"> prihodi od prodaje nefinancijske</w:t>
      </w:r>
      <w:r w:rsidR="002B0DEF">
        <w:rPr>
          <w:rFonts w:cstheme="minorHAnsi"/>
        </w:rPr>
        <w:t xml:space="preserve"> imovine u iznosu od </w:t>
      </w:r>
      <w:r w:rsidR="00B00621">
        <w:rPr>
          <w:rFonts w:cstheme="minorHAnsi"/>
        </w:rPr>
        <w:t>360,00</w:t>
      </w:r>
      <w:r w:rsidR="002B0DEF">
        <w:rPr>
          <w:rFonts w:cstheme="minorHAnsi"/>
        </w:rPr>
        <w:t xml:space="preserve"> eur</w:t>
      </w:r>
      <w:r w:rsidR="00180C02">
        <w:rPr>
          <w:rFonts w:cstheme="minorHAnsi"/>
        </w:rPr>
        <w:t>a.</w:t>
      </w:r>
    </w:p>
    <w:p w14:paraId="5B2235B9" w14:textId="7A92D7AA" w:rsidR="006A02B2" w:rsidRPr="00CD5B87" w:rsidRDefault="006B082F" w:rsidP="00CB1707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U T</w:t>
      </w:r>
      <w:r w:rsidR="006A02B2">
        <w:rPr>
          <w:rFonts w:cstheme="minorHAnsi"/>
        </w:rPr>
        <w:t xml:space="preserve">ablici 2. koja slijedi daje se </w:t>
      </w:r>
      <w:r w:rsidR="006A02B2" w:rsidRPr="00CD5B87">
        <w:rPr>
          <w:rFonts w:cstheme="minorHAnsi"/>
        </w:rPr>
        <w:t xml:space="preserve">pregled </w:t>
      </w:r>
      <w:r w:rsidR="006A02B2">
        <w:rPr>
          <w:rFonts w:cstheme="minorHAnsi"/>
        </w:rPr>
        <w:t>ostvarenih prihoda</w:t>
      </w:r>
      <w:r w:rsidR="006A02B2" w:rsidRPr="00CD5B87">
        <w:rPr>
          <w:rFonts w:cstheme="minorHAnsi"/>
        </w:rPr>
        <w:t xml:space="preserve"> Županijske uprave za ceste</w:t>
      </w:r>
      <w:r w:rsidR="002B0DEF">
        <w:rPr>
          <w:rFonts w:cstheme="minorHAnsi"/>
        </w:rPr>
        <w:t xml:space="preserve"> Primorsko-goranske županije u </w:t>
      </w:r>
      <w:r w:rsidR="006A02B2" w:rsidRPr="00CD5B87">
        <w:rPr>
          <w:rFonts w:cstheme="minorHAnsi"/>
        </w:rPr>
        <w:t>202</w:t>
      </w:r>
      <w:r w:rsidR="00B00621">
        <w:rPr>
          <w:rFonts w:cstheme="minorHAnsi"/>
        </w:rPr>
        <w:t>5</w:t>
      </w:r>
      <w:r w:rsidR="006A02B2" w:rsidRPr="00CD5B87">
        <w:rPr>
          <w:rFonts w:cstheme="minorHAnsi"/>
        </w:rPr>
        <w:t>. godin</w:t>
      </w:r>
      <w:r w:rsidR="002B0DEF">
        <w:rPr>
          <w:rFonts w:cstheme="minorHAnsi"/>
        </w:rPr>
        <w:t>i</w:t>
      </w:r>
      <w:r w:rsidR="006A02B2" w:rsidRPr="00CD5B87">
        <w:rPr>
          <w:rFonts w:cstheme="minorHAnsi"/>
        </w:rPr>
        <w:t xml:space="preserve"> s usporednim pokazateljima ostvarenja u 202</w:t>
      </w:r>
      <w:r w:rsidR="00B00621">
        <w:rPr>
          <w:rFonts w:cstheme="minorHAnsi"/>
        </w:rPr>
        <w:t>4</w:t>
      </w:r>
      <w:r w:rsidR="006A02B2">
        <w:rPr>
          <w:rFonts w:cstheme="minorHAnsi"/>
        </w:rPr>
        <w:t>. godin</w:t>
      </w:r>
      <w:r w:rsidR="00392D8C">
        <w:rPr>
          <w:rFonts w:cstheme="minorHAnsi"/>
        </w:rPr>
        <w:t>i</w:t>
      </w:r>
      <w:r w:rsidR="0079011D">
        <w:rPr>
          <w:rFonts w:cstheme="minorHAnsi"/>
        </w:rPr>
        <w:t xml:space="preserve"> i izvornog plana za 2025. godinu</w:t>
      </w:r>
      <w:r w:rsidR="006A02B2">
        <w:rPr>
          <w:rFonts w:cstheme="minorHAnsi"/>
        </w:rPr>
        <w:t>, te grafički</w:t>
      </w:r>
      <w:r>
        <w:rPr>
          <w:rFonts w:cstheme="minorHAnsi"/>
        </w:rPr>
        <w:t xml:space="preserve"> prikaz u G</w:t>
      </w:r>
      <w:r w:rsidR="006A02B2">
        <w:rPr>
          <w:rFonts w:cstheme="minorHAnsi"/>
        </w:rPr>
        <w:t>rafikonu 1.</w:t>
      </w:r>
    </w:p>
    <w:p w14:paraId="462063E6" w14:textId="15D328AC" w:rsidR="000B3A72" w:rsidRPr="0020248B" w:rsidRDefault="000B3A72" w:rsidP="00A7348E">
      <w:pPr>
        <w:pStyle w:val="Opisslike"/>
        <w:keepNext/>
        <w:spacing w:after="120"/>
        <w:ind w:left="907" w:hanging="907"/>
        <w:jc w:val="both"/>
        <w:rPr>
          <w:rFonts w:cstheme="minorHAnsi"/>
          <w:i w:val="0"/>
          <w:color w:val="222A35" w:themeColor="text2" w:themeShade="80"/>
          <w:sz w:val="22"/>
          <w:szCs w:val="22"/>
        </w:rPr>
      </w:pPr>
      <w:bookmarkStart w:id="19" w:name="_Toc14864204"/>
      <w:bookmarkStart w:id="20" w:name="_Toc77679380"/>
      <w:bookmarkStart w:id="21" w:name="_Toc109651256"/>
      <w:bookmarkStart w:id="22" w:name="_Toc224047002"/>
      <w:r w:rsidRPr="0020248B">
        <w:rPr>
          <w:rFonts w:cstheme="minorHAnsi"/>
          <w:i w:val="0"/>
          <w:color w:val="222A35" w:themeColor="text2" w:themeShade="80"/>
          <w:sz w:val="22"/>
          <w:szCs w:val="22"/>
        </w:rPr>
        <w:t xml:space="preserve">Tablica </w:t>
      </w:r>
      <w:r w:rsidR="003C0277" w:rsidRPr="0020248B">
        <w:rPr>
          <w:rFonts w:cstheme="minorHAnsi"/>
          <w:i w:val="0"/>
          <w:color w:val="222A35" w:themeColor="text2" w:themeShade="80"/>
          <w:sz w:val="22"/>
          <w:szCs w:val="22"/>
        </w:rPr>
        <w:fldChar w:fldCharType="begin"/>
      </w:r>
      <w:r w:rsidR="003C0277" w:rsidRPr="0020248B">
        <w:rPr>
          <w:rFonts w:cstheme="minorHAnsi"/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="003C0277" w:rsidRPr="0020248B">
        <w:rPr>
          <w:rFonts w:cstheme="minorHAnsi"/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rFonts w:cstheme="minorHAnsi"/>
          <w:i w:val="0"/>
          <w:noProof/>
          <w:color w:val="222A35" w:themeColor="text2" w:themeShade="80"/>
          <w:sz w:val="22"/>
          <w:szCs w:val="22"/>
        </w:rPr>
        <w:t>2</w:t>
      </w:r>
      <w:r w:rsidR="003C0277" w:rsidRPr="0020248B">
        <w:rPr>
          <w:rFonts w:cstheme="minorHAnsi"/>
          <w:i w:val="0"/>
          <w:color w:val="222A35" w:themeColor="text2" w:themeShade="80"/>
          <w:sz w:val="22"/>
          <w:szCs w:val="22"/>
        </w:rPr>
        <w:fldChar w:fldCharType="end"/>
      </w:r>
      <w:r w:rsidRPr="0020248B">
        <w:rPr>
          <w:rFonts w:cstheme="minorHAnsi"/>
          <w:i w:val="0"/>
          <w:color w:val="222A35" w:themeColor="text2" w:themeShade="80"/>
          <w:sz w:val="22"/>
          <w:szCs w:val="22"/>
        </w:rPr>
        <w:t>. Ostvarenje prihoda</w:t>
      </w:r>
      <w:r w:rsidR="00A7348E">
        <w:rPr>
          <w:rFonts w:cstheme="minorHAnsi"/>
          <w:i w:val="0"/>
          <w:color w:val="222A35" w:themeColor="text2" w:themeShade="80"/>
          <w:sz w:val="22"/>
          <w:szCs w:val="22"/>
        </w:rPr>
        <w:t xml:space="preserve"> </w:t>
      </w:r>
      <w:r w:rsidR="00D10C51">
        <w:rPr>
          <w:rFonts w:cstheme="minorHAnsi"/>
          <w:i w:val="0"/>
          <w:color w:val="222A35" w:themeColor="text2" w:themeShade="80"/>
          <w:sz w:val="22"/>
          <w:szCs w:val="22"/>
        </w:rPr>
        <w:t>u</w:t>
      </w:r>
      <w:r w:rsidRPr="0020248B">
        <w:rPr>
          <w:rFonts w:cstheme="minorHAnsi"/>
          <w:i w:val="0"/>
          <w:color w:val="222A35" w:themeColor="text2" w:themeShade="80"/>
          <w:sz w:val="22"/>
          <w:szCs w:val="22"/>
        </w:rPr>
        <w:t xml:space="preserve"> 202</w:t>
      </w:r>
      <w:r w:rsidR="002C2E3B">
        <w:rPr>
          <w:rFonts w:cstheme="minorHAnsi"/>
          <w:i w:val="0"/>
          <w:color w:val="222A35" w:themeColor="text2" w:themeShade="80"/>
          <w:sz w:val="22"/>
          <w:szCs w:val="22"/>
        </w:rPr>
        <w:t>5</w:t>
      </w:r>
      <w:r w:rsidRPr="0020248B">
        <w:rPr>
          <w:rFonts w:cstheme="minorHAnsi"/>
          <w:i w:val="0"/>
          <w:color w:val="222A35" w:themeColor="text2" w:themeShade="80"/>
          <w:sz w:val="22"/>
          <w:szCs w:val="22"/>
        </w:rPr>
        <w:t>. godin</w:t>
      </w:r>
      <w:r w:rsidR="00D10C51">
        <w:rPr>
          <w:rFonts w:cstheme="minorHAnsi"/>
          <w:i w:val="0"/>
          <w:color w:val="222A35" w:themeColor="text2" w:themeShade="80"/>
          <w:sz w:val="22"/>
          <w:szCs w:val="22"/>
        </w:rPr>
        <w:t>i</w:t>
      </w:r>
      <w:r w:rsidRPr="0020248B">
        <w:rPr>
          <w:rFonts w:cstheme="minorHAnsi"/>
          <w:i w:val="0"/>
          <w:color w:val="222A35" w:themeColor="text2" w:themeShade="80"/>
          <w:sz w:val="22"/>
          <w:szCs w:val="22"/>
        </w:rPr>
        <w:t xml:space="preserve"> s usporednim p</w:t>
      </w:r>
      <w:r w:rsidR="00383C19" w:rsidRPr="0020248B">
        <w:rPr>
          <w:rFonts w:cstheme="minorHAnsi"/>
          <w:i w:val="0"/>
          <w:color w:val="222A35" w:themeColor="text2" w:themeShade="80"/>
          <w:sz w:val="22"/>
          <w:szCs w:val="22"/>
        </w:rPr>
        <w:t xml:space="preserve">okazateljima </w:t>
      </w:r>
      <w:r w:rsidRPr="0020248B">
        <w:rPr>
          <w:rFonts w:cstheme="minorHAnsi"/>
          <w:i w:val="0"/>
          <w:color w:val="222A35" w:themeColor="text2" w:themeShade="80"/>
          <w:sz w:val="22"/>
          <w:szCs w:val="22"/>
        </w:rPr>
        <w:t xml:space="preserve">ostvarenja </w:t>
      </w:r>
      <w:r w:rsidR="00392D8C" w:rsidRPr="0020248B">
        <w:rPr>
          <w:rFonts w:cstheme="minorHAnsi"/>
          <w:i w:val="0"/>
          <w:color w:val="222A35" w:themeColor="text2" w:themeShade="80"/>
          <w:sz w:val="22"/>
          <w:szCs w:val="22"/>
        </w:rPr>
        <w:t xml:space="preserve">u </w:t>
      </w:r>
      <w:r w:rsidRPr="0020248B">
        <w:rPr>
          <w:rFonts w:cstheme="minorHAnsi"/>
          <w:i w:val="0"/>
          <w:color w:val="222A35" w:themeColor="text2" w:themeShade="80"/>
          <w:sz w:val="22"/>
          <w:szCs w:val="22"/>
        </w:rPr>
        <w:t>202</w:t>
      </w:r>
      <w:r w:rsidR="002C2E3B">
        <w:rPr>
          <w:rFonts w:cstheme="minorHAnsi"/>
          <w:i w:val="0"/>
          <w:color w:val="222A35" w:themeColor="text2" w:themeShade="80"/>
          <w:sz w:val="22"/>
          <w:szCs w:val="22"/>
        </w:rPr>
        <w:t>4</w:t>
      </w:r>
      <w:r w:rsidRPr="0020248B">
        <w:rPr>
          <w:rFonts w:cstheme="minorHAnsi"/>
          <w:i w:val="0"/>
          <w:color w:val="222A35" w:themeColor="text2" w:themeShade="80"/>
          <w:sz w:val="22"/>
          <w:szCs w:val="22"/>
        </w:rPr>
        <w:t>. godin</w:t>
      </w:r>
      <w:bookmarkEnd w:id="19"/>
      <w:bookmarkEnd w:id="20"/>
      <w:bookmarkEnd w:id="21"/>
      <w:r w:rsidR="00392D8C" w:rsidRPr="0020248B">
        <w:rPr>
          <w:rFonts w:cstheme="minorHAnsi"/>
          <w:i w:val="0"/>
          <w:color w:val="222A35" w:themeColor="text2" w:themeShade="80"/>
          <w:sz w:val="22"/>
          <w:szCs w:val="22"/>
        </w:rPr>
        <w:t>i</w:t>
      </w:r>
      <w:r w:rsidR="0079011D">
        <w:rPr>
          <w:rFonts w:cstheme="minorHAnsi"/>
          <w:i w:val="0"/>
          <w:color w:val="222A35" w:themeColor="text2" w:themeShade="80"/>
          <w:sz w:val="22"/>
          <w:szCs w:val="22"/>
        </w:rPr>
        <w:t xml:space="preserve"> i izvornog plana za 2025. godinu</w:t>
      </w:r>
      <w:bookmarkEnd w:id="22"/>
    </w:p>
    <w:tbl>
      <w:tblPr>
        <w:tblW w:w="9809" w:type="dxa"/>
        <w:jc w:val="center"/>
        <w:tblLook w:val="04A0" w:firstRow="1" w:lastRow="0" w:firstColumn="1" w:lastColumn="0" w:noHBand="0" w:noVBand="1"/>
      </w:tblPr>
      <w:tblGrid>
        <w:gridCol w:w="874"/>
        <w:gridCol w:w="3531"/>
        <w:gridCol w:w="1276"/>
        <w:gridCol w:w="1275"/>
        <w:gridCol w:w="1276"/>
        <w:gridCol w:w="858"/>
        <w:gridCol w:w="719"/>
      </w:tblGrid>
      <w:tr w:rsidR="002C2E3B" w:rsidRPr="002C2E3B" w14:paraId="00BECF9E" w14:textId="77777777" w:rsidTr="00D0402A">
        <w:trPr>
          <w:trHeight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E5A2556" w14:textId="77777777" w:rsidR="00315A25" w:rsidRDefault="00315A25" w:rsidP="00315A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Brojčana</w:t>
            </w:r>
          </w:p>
          <w:p w14:paraId="6935DBEF" w14:textId="5E0EB672" w:rsidR="002C2E3B" w:rsidRPr="002C2E3B" w:rsidRDefault="00315A25" w:rsidP="00315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433C96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Naziv računa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781B62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Ostvarenje </w:t>
            </w: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2BF7716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</w:t>
            </w: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4863D3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Ostvarenje </w:t>
            </w: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2A97E0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5./3.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1160E3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5./4.</w:t>
            </w:r>
          </w:p>
        </w:tc>
      </w:tr>
      <w:tr w:rsidR="002C2E3B" w:rsidRPr="002C2E3B" w14:paraId="5A252899" w14:textId="77777777" w:rsidTr="00D0402A">
        <w:trPr>
          <w:trHeight w:val="6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32F8A22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D31ADC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BA4D76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3AA0CD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C37B8C2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B7AD9D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8C3048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</w:tr>
      <w:tr w:rsidR="002C2E3B" w:rsidRPr="002C2E3B" w14:paraId="68AD5A32" w14:textId="77777777" w:rsidTr="00D0402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E936BBE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8994305" w14:textId="77777777" w:rsidR="002C2E3B" w:rsidRPr="002C2E3B" w:rsidRDefault="002C2E3B" w:rsidP="002C2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AACFF58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14.380.396,50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CC955B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17.380.038,44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88A9B5A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16.626.091,70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876969F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115,62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87D442E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95,66</w:t>
            </w:r>
          </w:p>
        </w:tc>
      </w:tr>
      <w:tr w:rsidR="002C2E3B" w:rsidRPr="002C2E3B" w14:paraId="13DC0AE2" w14:textId="77777777" w:rsidTr="00D0402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A26ED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281D" w14:textId="77777777" w:rsidR="002C2E3B" w:rsidRPr="002C2E3B" w:rsidRDefault="002C2E3B" w:rsidP="002C2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CE75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887.433,71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23E3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3.176.767,12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9CF2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2.030.468,60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D5D0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228,80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8DF8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63,92</w:t>
            </w:r>
          </w:p>
        </w:tc>
      </w:tr>
      <w:tr w:rsidR="002C2E3B" w:rsidRPr="002C2E3B" w14:paraId="150C60B2" w14:textId="77777777" w:rsidTr="00D0402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A44E2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8890" w14:textId="77777777" w:rsidR="002C2E3B" w:rsidRPr="002C2E3B" w:rsidRDefault="002C2E3B" w:rsidP="002C2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Pomoći proračunu i izvanproračunskim korisnicima iz drugih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DCE6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887.433,71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71C34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3.176.767,12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1B6A8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2.030.468,60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149D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228,80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8CBF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63,92</w:t>
            </w:r>
          </w:p>
        </w:tc>
      </w:tr>
      <w:tr w:rsidR="002C2E3B" w:rsidRPr="002C2E3B" w14:paraId="4D31045C" w14:textId="77777777" w:rsidTr="00D0402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646F6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0AFC" w14:textId="77777777" w:rsidR="002C2E3B" w:rsidRPr="002C2E3B" w:rsidRDefault="002C2E3B" w:rsidP="002C2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2131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13.042.137,93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1EC1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13.218.540,71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B6AB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13.597.543,69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18ED2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0D9D1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102,87</w:t>
            </w:r>
          </w:p>
        </w:tc>
      </w:tr>
      <w:tr w:rsidR="002C2E3B" w:rsidRPr="002C2E3B" w14:paraId="1ABD62C9" w14:textId="77777777" w:rsidTr="00D0402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12AAA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B584" w14:textId="77777777" w:rsidR="002C2E3B" w:rsidRPr="002C2E3B" w:rsidRDefault="002C2E3B" w:rsidP="002C2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6693D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20.416,40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0C4B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13.930,71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48FDC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13.916,64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B314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68,16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5DD09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99,90</w:t>
            </w:r>
          </w:p>
        </w:tc>
      </w:tr>
      <w:tr w:rsidR="002C2E3B" w:rsidRPr="002C2E3B" w14:paraId="47684D46" w14:textId="77777777" w:rsidTr="00D0402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37B8E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7DBD0" w14:textId="77777777" w:rsidR="002C2E3B" w:rsidRPr="002C2E3B" w:rsidRDefault="002C2E3B" w:rsidP="002C2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8A3B0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13.021.721,53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C6AB6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13.204.610,00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67E71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13.583.627,05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D82FB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6870F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102,87</w:t>
            </w:r>
          </w:p>
        </w:tc>
      </w:tr>
      <w:tr w:rsidR="002C2E3B" w:rsidRPr="002C2E3B" w14:paraId="74213B97" w14:textId="77777777" w:rsidTr="00D0402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955F8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3AEE8" w14:textId="77777777" w:rsidR="002C2E3B" w:rsidRPr="002C2E3B" w:rsidRDefault="002C2E3B" w:rsidP="002C2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F3BD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342,78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8846F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69F2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30.998,37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637AB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9.043,23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24AED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172,21</w:t>
            </w:r>
          </w:p>
        </w:tc>
      </w:tr>
      <w:tr w:rsidR="002C2E3B" w:rsidRPr="002C2E3B" w14:paraId="578C18D3" w14:textId="77777777" w:rsidTr="00D0402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7F35C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F2A6" w14:textId="77777777" w:rsidR="002C2E3B" w:rsidRPr="002C2E3B" w:rsidRDefault="002C2E3B" w:rsidP="002C2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CF87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342,78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4662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2FD5C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30.998,37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E9181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9.043,23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0EEF6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172,21</w:t>
            </w:r>
          </w:p>
        </w:tc>
      </w:tr>
      <w:tr w:rsidR="002C2E3B" w:rsidRPr="002C2E3B" w14:paraId="0310C1C0" w14:textId="77777777" w:rsidTr="00D0402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13F1A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AA3A" w14:textId="77777777" w:rsidR="002C2E3B" w:rsidRPr="002C2E3B" w:rsidRDefault="002C2E3B" w:rsidP="002C2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Prihodi od donacija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4E7B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428.988,76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0B59A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960.230,61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A486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960.230,61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B586A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223,84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B82AC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C2E3B" w:rsidRPr="002C2E3B" w14:paraId="2350E94A" w14:textId="77777777" w:rsidTr="00D0402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59E3E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492E8" w14:textId="77777777" w:rsidR="002C2E3B" w:rsidRPr="002C2E3B" w:rsidRDefault="002C2E3B" w:rsidP="002C2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Donacije od pravnih i fizičkih osoba izvan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4ABB8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428.988,76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C78BA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960.230,61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4AF8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960.230,61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8C5EF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223,84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E6AB9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C2E3B" w:rsidRPr="002C2E3B" w14:paraId="077129F3" w14:textId="77777777" w:rsidTr="00D0402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28A8E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5F26" w14:textId="77777777" w:rsidR="002C2E3B" w:rsidRPr="002C2E3B" w:rsidRDefault="002C2E3B" w:rsidP="002C2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Kazne, upravne mjere i ostali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0E7E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21.493,32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E1DF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09A5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6.850,43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CC6B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31,87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3F7AC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105,39</w:t>
            </w:r>
          </w:p>
        </w:tc>
      </w:tr>
      <w:tr w:rsidR="002C2E3B" w:rsidRPr="002C2E3B" w14:paraId="4DF7BA4D" w14:textId="77777777" w:rsidTr="00D0402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3060E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0917" w14:textId="77777777" w:rsidR="002C2E3B" w:rsidRPr="002C2E3B" w:rsidRDefault="002C2E3B" w:rsidP="002C2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82EC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21.493,32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6582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1AE4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6.850,43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A7E5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31,87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0DAD3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105,39</w:t>
            </w:r>
          </w:p>
        </w:tc>
      </w:tr>
      <w:tr w:rsidR="002C2E3B" w:rsidRPr="002C2E3B" w14:paraId="27C6E660" w14:textId="77777777" w:rsidTr="00D0402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3B2FA4F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4397679" w14:textId="77777777" w:rsidR="002C2E3B" w:rsidRPr="002C2E3B" w:rsidRDefault="002C2E3B" w:rsidP="002C2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82EEA0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5.501,00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0954E7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12.111,08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60B0786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2C5ED7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13F6307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2,97</w:t>
            </w:r>
          </w:p>
        </w:tc>
      </w:tr>
      <w:tr w:rsidR="002C2E3B" w:rsidRPr="002C2E3B" w14:paraId="489413B8" w14:textId="77777777" w:rsidTr="00D0402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0BAD5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C3B92" w14:textId="77777777" w:rsidR="002C2E3B" w:rsidRPr="002C2E3B" w:rsidRDefault="002C2E3B" w:rsidP="002C2E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20BE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5.501,00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BE30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12.111,08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714E0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9C42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6,54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6360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2,97</w:t>
            </w:r>
          </w:p>
        </w:tc>
      </w:tr>
      <w:tr w:rsidR="002C2E3B" w:rsidRPr="002C2E3B" w14:paraId="138797CF" w14:textId="77777777" w:rsidTr="00D0402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55C5F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5A33E" w14:textId="77777777" w:rsidR="002C2E3B" w:rsidRPr="002C2E3B" w:rsidRDefault="002C2E3B" w:rsidP="002C2E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prodaje postrojenja i opreme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6FBE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AD5A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A5407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4D9D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124,14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C34F0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950E4" w:rsidRPr="002C2E3B" w14:paraId="620A70D2" w14:textId="77777777" w:rsidTr="00D0402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791A7" w14:textId="77777777" w:rsidR="006950E4" w:rsidRPr="002C2E3B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8904" w14:textId="77777777" w:rsidR="006950E4" w:rsidRPr="002C2E3B" w:rsidRDefault="006950E4" w:rsidP="0069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prodaje prijevoznih sredstava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0DA9" w14:textId="77777777" w:rsidR="006950E4" w:rsidRPr="002C2E3B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5.211,00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D081" w14:textId="77777777" w:rsidR="006950E4" w:rsidRPr="002C2E3B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11.751,08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7C2FA" w14:textId="77777777" w:rsidR="006950E4" w:rsidRPr="002C2E3B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A9B0" w14:textId="373C07F4" w:rsidR="006950E4" w:rsidRPr="002C2E3B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F1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BFF9" w14:textId="3ACD7956" w:rsidR="006950E4" w:rsidRPr="002C2E3B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F11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C2E3B" w:rsidRPr="002C2E3B" w14:paraId="0D23A0DE" w14:textId="77777777" w:rsidTr="00D0402A">
        <w:trPr>
          <w:trHeight w:val="283"/>
          <w:jc w:val="center"/>
        </w:trPr>
        <w:tc>
          <w:tcPr>
            <w:tcW w:w="4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5971F6D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19D6B18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14.385.897,50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F225109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20.032.861,59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28B8D88" w14:textId="77777777" w:rsidR="002C2E3B" w:rsidRPr="002C2E3B" w:rsidRDefault="002C2E3B" w:rsidP="002C2E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16.626.451,70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EC143EB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115,57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75759FB" w14:textId="77777777" w:rsidR="002C2E3B" w:rsidRPr="002C2E3B" w:rsidRDefault="002C2E3B" w:rsidP="002C2E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C2E3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83,00</w:t>
            </w:r>
          </w:p>
        </w:tc>
      </w:tr>
    </w:tbl>
    <w:p w14:paraId="7B74AC49" w14:textId="77777777" w:rsidR="002C2E3B" w:rsidRDefault="002C2E3B">
      <w:pPr>
        <w:spacing w:line="259" w:lineRule="auto"/>
        <w:rPr>
          <w:rFonts w:cstheme="minorHAnsi"/>
          <w:color w:val="1F3864" w:themeColor="accent1" w:themeShade="80"/>
        </w:rPr>
      </w:pPr>
      <w:r>
        <w:rPr>
          <w:rFonts w:cstheme="minorHAnsi"/>
          <w:color w:val="1F3864" w:themeColor="accent1" w:themeShade="80"/>
        </w:rPr>
        <w:br w:type="page"/>
      </w:r>
    </w:p>
    <w:p w14:paraId="29EB887D" w14:textId="271162CD" w:rsidR="00000E13" w:rsidRPr="0037650A" w:rsidRDefault="00000E13" w:rsidP="00CF2AF2">
      <w:pPr>
        <w:spacing w:before="160" w:line="240" w:lineRule="auto"/>
        <w:ind w:left="1049" w:hanging="1049"/>
      </w:pPr>
      <w:bookmarkStart w:id="23" w:name="_Toc224047150"/>
      <w:r w:rsidRPr="0037650A">
        <w:rPr>
          <w:rFonts w:cstheme="minorHAnsi"/>
          <w:color w:val="1F3864" w:themeColor="accent1" w:themeShade="80"/>
        </w:rPr>
        <w:lastRenderedPageBreak/>
        <w:t xml:space="preserve">Grafikon </w:t>
      </w:r>
      <w:r w:rsidR="00333EA0">
        <w:rPr>
          <w:rFonts w:cstheme="minorHAnsi"/>
          <w:color w:val="1F3864" w:themeColor="accent1" w:themeShade="80"/>
        </w:rPr>
        <w:fldChar w:fldCharType="begin"/>
      </w:r>
      <w:r w:rsidR="00333EA0">
        <w:rPr>
          <w:rFonts w:cstheme="minorHAnsi"/>
          <w:color w:val="1F3864" w:themeColor="accent1" w:themeShade="80"/>
        </w:rPr>
        <w:instrText xml:space="preserve"> SEQ Grafikon \* ARABIC </w:instrText>
      </w:r>
      <w:r w:rsidR="00333EA0">
        <w:rPr>
          <w:rFonts w:cstheme="minorHAnsi"/>
          <w:color w:val="1F3864" w:themeColor="accent1" w:themeShade="80"/>
        </w:rPr>
        <w:fldChar w:fldCharType="separate"/>
      </w:r>
      <w:r w:rsidR="00EC1B3D">
        <w:rPr>
          <w:rFonts w:cstheme="minorHAnsi"/>
          <w:noProof/>
          <w:color w:val="1F3864" w:themeColor="accent1" w:themeShade="80"/>
        </w:rPr>
        <w:t>1</w:t>
      </w:r>
      <w:r w:rsidR="00333EA0">
        <w:rPr>
          <w:rFonts w:cstheme="minorHAnsi"/>
          <w:color w:val="1F3864" w:themeColor="accent1" w:themeShade="80"/>
        </w:rPr>
        <w:fldChar w:fldCharType="end"/>
      </w:r>
      <w:r w:rsidR="00880D4A" w:rsidRPr="0037650A">
        <w:rPr>
          <w:rFonts w:cstheme="minorHAnsi"/>
          <w:color w:val="1F3864" w:themeColor="accent1" w:themeShade="80"/>
        </w:rPr>
        <w:t>.</w:t>
      </w:r>
      <w:r w:rsidRPr="0037650A">
        <w:rPr>
          <w:rFonts w:cstheme="minorHAnsi"/>
          <w:color w:val="1F3864" w:themeColor="accent1" w:themeShade="80"/>
        </w:rPr>
        <w:t xml:space="preserve"> </w:t>
      </w:r>
      <w:r w:rsidR="00093E46" w:rsidRPr="0037650A">
        <w:rPr>
          <w:rFonts w:cstheme="minorHAnsi"/>
          <w:color w:val="1F3864" w:themeColor="accent1" w:themeShade="80"/>
        </w:rPr>
        <w:t>Ostvarenje prihoda</w:t>
      </w:r>
      <w:r w:rsidR="00A7348E">
        <w:rPr>
          <w:rFonts w:cstheme="minorHAnsi"/>
          <w:color w:val="1F3864" w:themeColor="accent1" w:themeShade="80"/>
        </w:rPr>
        <w:t xml:space="preserve"> </w:t>
      </w:r>
      <w:r w:rsidR="00477272" w:rsidRPr="0037650A">
        <w:rPr>
          <w:rFonts w:cstheme="minorHAnsi"/>
          <w:color w:val="1F3864" w:themeColor="accent1" w:themeShade="80"/>
        </w:rPr>
        <w:t>u</w:t>
      </w:r>
      <w:r w:rsidR="00093E46" w:rsidRPr="0037650A">
        <w:rPr>
          <w:rFonts w:cstheme="minorHAnsi"/>
          <w:color w:val="1F3864" w:themeColor="accent1" w:themeShade="80"/>
        </w:rPr>
        <w:t xml:space="preserve"> 202</w:t>
      </w:r>
      <w:r w:rsidR="002C2E3B">
        <w:rPr>
          <w:rFonts w:cstheme="minorHAnsi"/>
          <w:color w:val="1F3864" w:themeColor="accent1" w:themeShade="80"/>
        </w:rPr>
        <w:t>5</w:t>
      </w:r>
      <w:r w:rsidR="00477272" w:rsidRPr="0037650A">
        <w:rPr>
          <w:rFonts w:cstheme="minorHAnsi"/>
          <w:color w:val="1F3864" w:themeColor="accent1" w:themeShade="80"/>
        </w:rPr>
        <w:t>. godini</w:t>
      </w:r>
      <w:r w:rsidR="00093E46" w:rsidRPr="0037650A">
        <w:rPr>
          <w:rFonts w:cstheme="minorHAnsi"/>
          <w:color w:val="1F3864" w:themeColor="accent1" w:themeShade="80"/>
        </w:rPr>
        <w:t xml:space="preserve"> s usporednim pokazateljima ostvarenja u 202</w:t>
      </w:r>
      <w:r w:rsidR="002C2E3B">
        <w:rPr>
          <w:rFonts w:cstheme="minorHAnsi"/>
          <w:color w:val="1F3864" w:themeColor="accent1" w:themeShade="80"/>
        </w:rPr>
        <w:t>4</w:t>
      </w:r>
      <w:r w:rsidR="00093E46" w:rsidRPr="0037650A">
        <w:rPr>
          <w:rFonts w:cstheme="minorHAnsi"/>
          <w:color w:val="1F3864" w:themeColor="accent1" w:themeShade="80"/>
        </w:rPr>
        <w:t>. godin</w:t>
      </w:r>
      <w:r w:rsidR="00477272" w:rsidRPr="0037650A">
        <w:rPr>
          <w:rFonts w:cstheme="minorHAnsi"/>
          <w:color w:val="1F3864" w:themeColor="accent1" w:themeShade="80"/>
        </w:rPr>
        <w:t>i</w:t>
      </w:r>
      <w:r w:rsidR="002C2E3B">
        <w:rPr>
          <w:rFonts w:cstheme="minorHAnsi"/>
          <w:color w:val="1F3864" w:themeColor="accent1" w:themeShade="80"/>
        </w:rPr>
        <w:t xml:space="preserve"> i izvornog plana za 2025</w:t>
      </w:r>
      <w:r w:rsidR="005B7F41">
        <w:rPr>
          <w:rFonts w:cstheme="minorHAnsi"/>
          <w:color w:val="1F3864" w:themeColor="accent1" w:themeShade="80"/>
        </w:rPr>
        <w:t>. godinu</w:t>
      </w:r>
      <w:bookmarkEnd w:id="23"/>
    </w:p>
    <w:p w14:paraId="742F83F1" w14:textId="73C31069" w:rsidR="000B3A72" w:rsidRPr="00477272" w:rsidRDefault="002C2E3B" w:rsidP="002C2E3B">
      <w:pPr>
        <w:spacing w:after="120" w:line="240" w:lineRule="auto"/>
        <w:jc w:val="center"/>
        <w:rPr>
          <w:rFonts w:cstheme="minorHAnsi"/>
        </w:rPr>
      </w:pPr>
      <w:r>
        <w:rPr>
          <w:noProof/>
          <w:lang w:eastAsia="hr-HR"/>
        </w:rPr>
        <w:drawing>
          <wp:inline distT="0" distB="0" distL="0" distR="0" wp14:anchorId="1D5979B1" wp14:editId="413D4682">
            <wp:extent cx="6480000" cy="3600000"/>
            <wp:effectExtent l="0" t="0" r="16510" b="63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DE5A5FE" w14:textId="44CF8BEE" w:rsidR="000B3A72" w:rsidRPr="005E0D04" w:rsidRDefault="005F69E2" w:rsidP="00EC6EAF">
      <w:pPr>
        <w:pStyle w:val="Naslov4"/>
      </w:pPr>
      <w:bookmarkStart w:id="24" w:name="_Toc14862487"/>
      <w:bookmarkStart w:id="25" w:name="_Toc224047547"/>
      <w:r w:rsidRPr="00EC6EAF">
        <w:t>PRIHODI</w:t>
      </w:r>
      <w:r w:rsidRPr="005E0D04">
        <w:t xml:space="preserve"> POSLOVANJA</w:t>
      </w:r>
      <w:bookmarkEnd w:id="24"/>
      <w:bookmarkEnd w:id="25"/>
    </w:p>
    <w:p w14:paraId="6A7738B0" w14:textId="2AFA620E" w:rsidR="000B3A72" w:rsidRPr="00CD5B87" w:rsidRDefault="000B3A72" w:rsidP="003E1940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Prihodi poslovanja planirani su u 202</w:t>
      </w:r>
      <w:r w:rsidR="00B00621">
        <w:rPr>
          <w:rFonts w:cstheme="minorHAnsi"/>
        </w:rPr>
        <w:t>5</w:t>
      </w:r>
      <w:r w:rsidR="00A21EB3">
        <w:rPr>
          <w:rFonts w:cstheme="minorHAnsi"/>
        </w:rPr>
        <w:t xml:space="preserve">. godini u iznosu </w:t>
      </w:r>
      <w:r w:rsidR="003D3C93">
        <w:rPr>
          <w:rFonts w:cstheme="minorHAnsi"/>
        </w:rPr>
        <w:t xml:space="preserve">od </w:t>
      </w:r>
      <w:r w:rsidR="00B00621">
        <w:rPr>
          <w:rFonts w:cstheme="minorHAnsi"/>
        </w:rPr>
        <w:t>17.380.038,44</w:t>
      </w:r>
      <w:r w:rsidR="000B0D04">
        <w:rPr>
          <w:rFonts w:cstheme="minorHAnsi"/>
        </w:rPr>
        <w:t xml:space="preserve"> eur</w:t>
      </w:r>
      <w:r w:rsidR="0037650A">
        <w:rPr>
          <w:rFonts w:cstheme="minorHAnsi"/>
        </w:rPr>
        <w:t>a</w:t>
      </w:r>
      <w:r w:rsidRPr="00CD5B87">
        <w:rPr>
          <w:rFonts w:cstheme="minorHAnsi"/>
        </w:rPr>
        <w:t xml:space="preserve">, </w:t>
      </w:r>
      <w:r w:rsidR="00A84EA3">
        <w:rPr>
          <w:rFonts w:cstheme="minorHAnsi"/>
        </w:rPr>
        <w:t xml:space="preserve">a </w:t>
      </w:r>
      <w:r w:rsidR="004A3984">
        <w:rPr>
          <w:rFonts w:cstheme="minorHAnsi"/>
        </w:rPr>
        <w:t xml:space="preserve">ostvareni su </w:t>
      </w:r>
      <w:r w:rsidR="00300E56">
        <w:rPr>
          <w:rFonts w:cstheme="minorHAnsi"/>
        </w:rPr>
        <w:t xml:space="preserve">u iznosu </w:t>
      </w:r>
      <w:r w:rsidR="003D3C93">
        <w:rPr>
          <w:rFonts w:cstheme="minorHAnsi"/>
        </w:rPr>
        <w:t xml:space="preserve">od </w:t>
      </w:r>
      <w:r w:rsidR="00B00621">
        <w:rPr>
          <w:rFonts w:cstheme="minorHAnsi"/>
        </w:rPr>
        <w:t>16.626.091,70</w:t>
      </w:r>
      <w:r w:rsidR="000B0D04">
        <w:rPr>
          <w:rFonts w:cstheme="minorHAnsi"/>
        </w:rPr>
        <w:t xml:space="preserve"> eur</w:t>
      </w:r>
      <w:r w:rsidR="0037650A">
        <w:rPr>
          <w:rFonts w:cstheme="minorHAnsi"/>
        </w:rPr>
        <w:t>a</w:t>
      </w:r>
      <w:r w:rsidR="00B76525">
        <w:rPr>
          <w:rFonts w:cstheme="minorHAnsi"/>
        </w:rPr>
        <w:t>,</w:t>
      </w:r>
      <w:r w:rsidR="00300E56">
        <w:rPr>
          <w:rFonts w:cstheme="minorHAnsi"/>
        </w:rPr>
        <w:t xml:space="preserve"> odnosno </w:t>
      </w:r>
      <w:r w:rsidR="00B00621">
        <w:rPr>
          <w:rFonts w:cstheme="minorHAnsi"/>
        </w:rPr>
        <w:t>95,66</w:t>
      </w:r>
      <w:r w:rsidR="004A3984">
        <w:rPr>
          <w:rFonts w:cstheme="minorHAnsi"/>
        </w:rPr>
        <w:t xml:space="preserve">% </w:t>
      </w:r>
      <w:r w:rsidR="00300E56">
        <w:rPr>
          <w:rFonts w:cstheme="minorHAnsi"/>
        </w:rPr>
        <w:t xml:space="preserve">godišnjeg plana što je </w:t>
      </w:r>
      <w:r w:rsidR="00B00621">
        <w:rPr>
          <w:rFonts w:cstheme="minorHAnsi"/>
        </w:rPr>
        <w:t>15,62</w:t>
      </w:r>
      <w:r w:rsidR="00A32BA3">
        <w:rPr>
          <w:rFonts w:cstheme="minorHAnsi"/>
        </w:rPr>
        <w:t xml:space="preserve">% </w:t>
      </w:r>
      <w:r w:rsidR="00300E56">
        <w:rPr>
          <w:rFonts w:cstheme="minorHAnsi"/>
        </w:rPr>
        <w:t>više</w:t>
      </w:r>
      <w:r w:rsidRPr="00CD5B87">
        <w:rPr>
          <w:rFonts w:cstheme="minorHAnsi"/>
        </w:rPr>
        <w:t xml:space="preserve"> u odnosu na isto razdoblje prethodne godine.</w:t>
      </w:r>
    </w:p>
    <w:p w14:paraId="32096BFB" w14:textId="7DA67C0A" w:rsidR="000B3A72" w:rsidRPr="00857E44" w:rsidRDefault="000B3A72" w:rsidP="003E1940">
      <w:pPr>
        <w:spacing w:before="120" w:after="120" w:line="240" w:lineRule="auto"/>
        <w:jc w:val="both"/>
        <w:rPr>
          <w:rFonts w:cstheme="minorHAnsi"/>
        </w:rPr>
      </w:pPr>
      <w:r w:rsidRPr="00857E44">
        <w:rPr>
          <w:rFonts w:cstheme="minorHAnsi"/>
        </w:rPr>
        <w:t xml:space="preserve">U strukturi </w:t>
      </w:r>
      <w:r w:rsidR="00B76525" w:rsidRPr="00857E44">
        <w:rPr>
          <w:rFonts w:cstheme="minorHAnsi"/>
        </w:rPr>
        <w:t xml:space="preserve">ostvarenih </w:t>
      </w:r>
      <w:r w:rsidRPr="00857E44">
        <w:rPr>
          <w:rFonts w:cstheme="minorHAnsi"/>
        </w:rPr>
        <w:t xml:space="preserve">prihoda poslovanja najznačajniju stavku čine prihodi od </w:t>
      </w:r>
      <w:r w:rsidR="00300E56" w:rsidRPr="00857E44">
        <w:rPr>
          <w:rFonts w:cstheme="minorHAnsi"/>
        </w:rPr>
        <w:t xml:space="preserve">nefinancijske imovine (naknade za </w:t>
      </w:r>
      <w:r w:rsidR="0041188A" w:rsidRPr="00857E44">
        <w:rPr>
          <w:rFonts w:cstheme="minorHAnsi"/>
        </w:rPr>
        <w:t xml:space="preserve">uporabu javnih cesta </w:t>
      </w:r>
      <w:r w:rsidR="00300E56" w:rsidRPr="00857E44">
        <w:rPr>
          <w:rFonts w:cstheme="minorHAnsi"/>
        </w:rPr>
        <w:t>ceste</w:t>
      </w:r>
      <w:r w:rsidR="00CE21EC" w:rsidRPr="00857E44">
        <w:rPr>
          <w:rFonts w:cstheme="minorHAnsi"/>
        </w:rPr>
        <w:t xml:space="preserve">, naknada za </w:t>
      </w:r>
      <w:r w:rsidR="00300E56" w:rsidRPr="00857E44">
        <w:rPr>
          <w:rFonts w:cstheme="minorHAnsi"/>
        </w:rPr>
        <w:t>izvanredni prijevoz</w:t>
      </w:r>
      <w:r w:rsidR="0041188A" w:rsidRPr="00857E44">
        <w:rPr>
          <w:rFonts w:cstheme="minorHAnsi"/>
        </w:rPr>
        <w:t>, naknada za korištenje cestovnog zemljišta</w:t>
      </w:r>
      <w:r w:rsidR="00CE21EC" w:rsidRPr="00857E44">
        <w:rPr>
          <w:rFonts w:cstheme="minorHAnsi"/>
        </w:rPr>
        <w:t>, naknada za korištenje cestovnog zemljišta-pravo služnosti</w:t>
      </w:r>
      <w:r w:rsidR="00300E56" w:rsidRPr="00857E44">
        <w:rPr>
          <w:rFonts w:cstheme="minorHAnsi"/>
        </w:rPr>
        <w:t xml:space="preserve">) s udjelom </w:t>
      </w:r>
      <w:r w:rsidR="00B00621" w:rsidRPr="00857E44">
        <w:rPr>
          <w:rFonts w:cstheme="minorHAnsi"/>
        </w:rPr>
        <w:t>81,7</w:t>
      </w:r>
      <w:r w:rsidR="00CC5493">
        <w:rPr>
          <w:rFonts w:cstheme="minorHAnsi"/>
        </w:rPr>
        <w:t>0</w:t>
      </w:r>
      <w:r w:rsidRPr="00857E44">
        <w:rPr>
          <w:rFonts w:cstheme="minorHAnsi"/>
        </w:rPr>
        <w:t>%, slijede pri</w:t>
      </w:r>
      <w:r w:rsidR="00C30372" w:rsidRPr="00857E44">
        <w:rPr>
          <w:rFonts w:cstheme="minorHAnsi"/>
        </w:rPr>
        <w:t>hodi od pomoći s udjel</w:t>
      </w:r>
      <w:r w:rsidR="00300E56" w:rsidRPr="00857E44">
        <w:rPr>
          <w:rFonts w:cstheme="minorHAnsi"/>
        </w:rPr>
        <w:t xml:space="preserve">om od </w:t>
      </w:r>
      <w:r w:rsidR="00B00621" w:rsidRPr="00857E44">
        <w:rPr>
          <w:rFonts w:cstheme="minorHAnsi"/>
        </w:rPr>
        <w:t>12,2</w:t>
      </w:r>
      <w:r w:rsidR="00817C60">
        <w:rPr>
          <w:rFonts w:cstheme="minorHAnsi"/>
        </w:rPr>
        <w:t>1</w:t>
      </w:r>
      <w:r w:rsidR="001462F8" w:rsidRPr="00857E44">
        <w:rPr>
          <w:rFonts w:cstheme="minorHAnsi"/>
        </w:rPr>
        <w:t>%</w:t>
      </w:r>
      <w:r w:rsidR="00300E56" w:rsidRPr="00857E44">
        <w:rPr>
          <w:rFonts w:cstheme="minorHAnsi"/>
        </w:rPr>
        <w:t>, prihodi o</w:t>
      </w:r>
      <w:r w:rsidR="006F5EC1" w:rsidRPr="00857E44">
        <w:rPr>
          <w:rFonts w:cstheme="minorHAnsi"/>
        </w:rPr>
        <w:t xml:space="preserve">d donacija s udjelom od </w:t>
      </w:r>
      <w:r w:rsidR="00817C60">
        <w:rPr>
          <w:rFonts w:cstheme="minorHAnsi"/>
        </w:rPr>
        <w:t>5,78</w:t>
      </w:r>
      <w:r w:rsidR="006F5EC1" w:rsidRPr="00857E44">
        <w:rPr>
          <w:rFonts w:cstheme="minorHAnsi"/>
        </w:rPr>
        <w:t xml:space="preserve">%, </w:t>
      </w:r>
      <w:r w:rsidR="00300E56" w:rsidRPr="00857E44">
        <w:rPr>
          <w:rFonts w:cstheme="minorHAnsi"/>
        </w:rPr>
        <w:t>dok se preostali dio od 0,</w:t>
      </w:r>
      <w:r w:rsidR="00817C60">
        <w:rPr>
          <w:rFonts w:cstheme="minorHAnsi"/>
        </w:rPr>
        <w:t>31</w:t>
      </w:r>
      <w:r w:rsidR="007F2367" w:rsidRPr="00857E44">
        <w:rPr>
          <w:rFonts w:cstheme="minorHAnsi"/>
        </w:rPr>
        <w:t>% odnosi na prihode od financijske imovine, prihode po posebnim propisima</w:t>
      </w:r>
      <w:r w:rsidRPr="00857E44">
        <w:rPr>
          <w:rFonts w:cstheme="minorHAnsi"/>
        </w:rPr>
        <w:t xml:space="preserve"> i ostale prihode. U izvještajnom razdoblju p</w:t>
      </w:r>
      <w:r w:rsidR="008A7347" w:rsidRPr="00857E44">
        <w:rPr>
          <w:rFonts w:cstheme="minorHAnsi"/>
        </w:rPr>
        <w:t>o</w:t>
      </w:r>
      <w:r w:rsidRPr="00857E44">
        <w:rPr>
          <w:rFonts w:cstheme="minorHAnsi"/>
        </w:rPr>
        <w:t>jedine vrste prihoda poslovanja ostvarene su kako slijedi:</w:t>
      </w:r>
    </w:p>
    <w:p w14:paraId="5FE70595" w14:textId="77777777" w:rsidR="00043184" w:rsidRDefault="000B3A72" w:rsidP="00043184">
      <w:pPr>
        <w:spacing w:before="120" w:after="120" w:line="240" w:lineRule="auto"/>
        <w:jc w:val="both"/>
        <w:rPr>
          <w:rFonts w:cstheme="minorHAnsi"/>
          <w:b/>
        </w:rPr>
      </w:pPr>
      <w:r w:rsidRPr="0077367B">
        <w:rPr>
          <w:rFonts w:cstheme="minorHAnsi"/>
          <w:b/>
        </w:rPr>
        <w:t>Pomoći od s</w:t>
      </w:r>
      <w:r w:rsidR="00043184">
        <w:rPr>
          <w:rFonts w:cstheme="minorHAnsi"/>
          <w:b/>
        </w:rPr>
        <w:t>ubjekata unutar općeg proračuna</w:t>
      </w:r>
    </w:p>
    <w:p w14:paraId="66A757DA" w14:textId="77777777" w:rsidR="00043184" w:rsidRDefault="007C63F9" w:rsidP="00043184">
      <w:pPr>
        <w:spacing w:before="120" w:after="120" w:line="240" w:lineRule="auto"/>
        <w:jc w:val="both"/>
        <w:rPr>
          <w:rFonts w:cstheme="minorHAnsi"/>
          <w:iCs/>
        </w:rPr>
      </w:pPr>
      <w:r w:rsidRPr="00043184">
        <w:rPr>
          <w:rFonts w:cstheme="minorHAnsi"/>
          <w:iCs/>
        </w:rPr>
        <w:t>Pomoći od subjekata unutar općeg proračuna odnose se na tekuće i kapitalne pomoći iz gradskih i općinskih proračuna s područja Primorsko-goranske županije, te pomoći društva Hrvatske ceste d.o.o. i ostvarene su u iznosu od 2.030.468,60 eura odnosno 63,9</w:t>
      </w:r>
      <w:r w:rsidR="00857E44" w:rsidRPr="00043184">
        <w:rPr>
          <w:rFonts w:cstheme="minorHAnsi"/>
          <w:iCs/>
        </w:rPr>
        <w:t>2</w:t>
      </w:r>
      <w:r w:rsidRPr="00043184">
        <w:rPr>
          <w:rFonts w:cstheme="minorHAnsi"/>
          <w:iCs/>
        </w:rPr>
        <w:t>% godišnjeg plana, te za 1.143.034,89 eura više u odnosu na isto razdoblje prethodne godine.</w:t>
      </w:r>
    </w:p>
    <w:p w14:paraId="20863727" w14:textId="02CFC0A2" w:rsidR="00043184" w:rsidRDefault="007C63F9" w:rsidP="00043184">
      <w:pPr>
        <w:spacing w:before="120" w:after="120" w:line="240" w:lineRule="auto"/>
        <w:jc w:val="both"/>
        <w:rPr>
          <w:iCs/>
        </w:rPr>
      </w:pPr>
      <w:r w:rsidRPr="00043184">
        <w:rPr>
          <w:iCs/>
        </w:rPr>
        <w:t>Pomoći su ostvarene iz gradskih i općinskih proračuna (</w:t>
      </w:r>
      <w:r w:rsidR="005F50B4" w:rsidRPr="00043184">
        <w:rPr>
          <w:iCs/>
        </w:rPr>
        <w:t>Malinska</w:t>
      </w:r>
      <w:r w:rsidR="005F50B4">
        <w:rPr>
          <w:iCs/>
        </w:rPr>
        <w:t>,</w:t>
      </w:r>
      <w:r w:rsidR="005F50B4" w:rsidRPr="00043184">
        <w:rPr>
          <w:iCs/>
        </w:rPr>
        <w:t xml:space="preserve"> </w:t>
      </w:r>
      <w:proofErr w:type="spellStart"/>
      <w:r w:rsidRPr="00043184">
        <w:rPr>
          <w:iCs/>
        </w:rPr>
        <w:t>Dobrinj</w:t>
      </w:r>
      <w:proofErr w:type="spellEnd"/>
      <w:r w:rsidRPr="00043184">
        <w:rPr>
          <w:iCs/>
        </w:rPr>
        <w:t xml:space="preserve">, Vrbnik, </w:t>
      </w:r>
      <w:r w:rsidR="005F50B4">
        <w:rPr>
          <w:iCs/>
        </w:rPr>
        <w:t>Krk,</w:t>
      </w:r>
      <w:r w:rsidR="005F50B4" w:rsidRPr="00043184">
        <w:rPr>
          <w:iCs/>
        </w:rPr>
        <w:t xml:space="preserve"> </w:t>
      </w:r>
      <w:r w:rsidRPr="00043184">
        <w:rPr>
          <w:iCs/>
        </w:rPr>
        <w:t>Lop</w:t>
      </w:r>
      <w:r w:rsidR="00043184">
        <w:rPr>
          <w:iCs/>
        </w:rPr>
        <w:t xml:space="preserve">ar, </w:t>
      </w:r>
      <w:r w:rsidR="005F50B4">
        <w:rPr>
          <w:iCs/>
        </w:rPr>
        <w:t>Jelenje</w:t>
      </w:r>
      <w:r w:rsidRPr="00043184">
        <w:rPr>
          <w:iCs/>
        </w:rPr>
        <w:t>) temeljem zaključenih ugovora odnosno sporazuma u 2024. i 2025. godini, a odnose se na sredstva doznačena za izvanredno održavanje, sanaciju i gradnju županijskih i lokalnih cesta na njihovom području.</w:t>
      </w:r>
    </w:p>
    <w:p w14:paraId="27F4D83A" w14:textId="77777777" w:rsidR="00043184" w:rsidRDefault="007C63F9" w:rsidP="00043184">
      <w:pPr>
        <w:spacing w:before="120" w:after="120" w:line="240" w:lineRule="auto"/>
        <w:jc w:val="both"/>
        <w:rPr>
          <w:iCs/>
        </w:rPr>
      </w:pPr>
      <w:r w:rsidRPr="00043184">
        <w:rPr>
          <w:iCs/>
        </w:rPr>
        <w:t xml:space="preserve">Prihodi od tekućih pomoći proračuna iz drugih proračuna odnose se na doznačena sredstva za financiranje programa izvanrednog održavanja županijskih i lokalnih cesta. Navedeni prihodi ostvareni su u iznosu od </w:t>
      </w:r>
      <w:r w:rsidR="006336D9" w:rsidRPr="00043184">
        <w:rPr>
          <w:iCs/>
        </w:rPr>
        <w:t>270.533,53</w:t>
      </w:r>
      <w:r w:rsidRPr="00043184">
        <w:rPr>
          <w:iCs/>
        </w:rPr>
        <w:t xml:space="preserve"> eura ili </w:t>
      </w:r>
      <w:r w:rsidR="006336D9" w:rsidRPr="00043184">
        <w:rPr>
          <w:iCs/>
        </w:rPr>
        <w:t>41,2</w:t>
      </w:r>
      <w:r w:rsidR="00857E44" w:rsidRPr="00043184">
        <w:rPr>
          <w:iCs/>
        </w:rPr>
        <w:t>3</w:t>
      </w:r>
      <w:r w:rsidR="006336D9" w:rsidRPr="00043184">
        <w:rPr>
          <w:iCs/>
        </w:rPr>
        <w:t>% godišnjeg plana, te za 343.427,40</w:t>
      </w:r>
      <w:r w:rsidRPr="00043184">
        <w:rPr>
          <w:iCs/>
        </w:rPr>
        <w:t xml:space="preserve"> eura ili </w:t>
      </w:r>
      <w:r w:rsidR="006336D9" w:rsidRPr="00043184">
        <w:rPr>
          <w:iCs/>
        </w:rPr>
        <w:t>55,9</w:t>
      </w:r>
      <w:r w:rsidR="00857E44" w:rsidRPr="00043184">
        <w:rPr>
          <w:iCs/>
        </w:rPr>
        <w:t>4</w:t>
      </w:r>
      <w:r w:rsidRPr="00043184">
        <w:rPr>
          <w:iCs/>
        </w:rPr>
        <w:t xml:space="preserve">% </w:t>
      </w:r>
      <w:r w:rsidR="006336D9" w:rsidRPr="00043184">
        <w:rPr>
          <w:iCs/>
        </w:rPr>
        <w:t>manje</w:t>
      </w:r>
      <w:r w:rsidRPr="00043184">
        <w:rPr>
          <w:iCs/>
        </w:rPr>
        <w:t xml:space="preserve"> u odnosu na isto razdoblje prethodne godine.</w:t>
      </w:r>
    </w:p>
    <w:p w14:paraId="2570E7B7" w14:textId="6F823905" w:rsidR="00043184" w:rsidRDefault="007C63F9" w:rsidP="00043184">
      <w:pPr>
        <w:spacing w:before="120" w:after="120" w:line="240" w:lineRule="auto"/>
        <w:jc w:val="both"/>
        <w:rPr>
          <w:iCs/>
        </w:rPr>
      </w:pPr>
      <w:r w:rsidRPr="00043184">
        <w:rPr>
          <w:iCs/>
        </w:rPr>
        <w:t xml:space="preserve">Prihodi od kapitalnih pomoći proračunu iz drugih proračuna odnose se na doznačena sredstva za financiranje programa gradnje županijskih i lokalnih cesta. Navedeni prihodi ostvareni su u iznosu od </w:t>
      </w:r>
      <w:r w:rsidR="006336D9" w:rsidRPr="00043184">
        <w:rPr>
          <w:iCs/>
        </w:rPr>
        <w:t>1.759.935,07</w:t>
      </w:r>
      <w:r w:rsidRPr="00043184">
        <w:rPr>
          <w:iCs/>
        </w:rPr>
        <w:t xml:space="preserve"> eura ili </w:t>
      </w:r>
      <w:r w:rsidR="006336D9" w:rsidRPr="00043184">
        <w:rPr>
          <w:iCs/>
        </w:rPr>
        <w:t>69,8</w:t>
      </w:r>
      <w:r w:rsidR="00857E44" w:rsidRPr="00043184">
        <w:rPr>
          <w:iCs/>
        </w:rPr>
        <w:t>2</w:t>
      </w:r>
      <w:r w:rsidRPr="00043184">
        <w:rPr>
          <w:iCs/>
        </w:rPr>
        <w:t xml:space="preserve">% godišnjeg plana, te za </w:t>
      </w:r>
      <w:r w:rsidR="006336D9" w:rsidRPr="00043184">
        <w:rPr>
          <w:iCs/>
        </w:rPr>
        <w:t>1.486.462,29</w:t>
      </w:r>
      <w:r w:rsidRPr="00043184">
        <w:rPr>
          <w:iCs/>
        </w:rPr>
        <w:t xml:space="preserve"> eura više u odnosu na i</w:t>
      </w:r>
      <w:r w:rsidR="00043184">
        <w:rPr>
          <w:iCs/>
        </w:rPr>
        <w:t>sto razdoblje prethodne godine.</w:t>
      </w:r>
    </w:p>
    <w:p w14:paraId="4FD5026E" w14:textId="0BD06E28" w:rsidR="007C63F9" w:rsidRPr="00043184" w:rsidRDefault="007C63F9" w:rsidP="00043184">
      <w:pPr>
        <w:spacing w:before="120" w:after="120" w:line="240" w:lineRule="auto"/>
        <w:jc w:val="both"/>
        <w:rPr>
          <w:rFonts w:cstheme="minorHAnsi"/>
          <w:b/>
        </w:rPr>
      </w:pPr>
      <w:r w:rsidRPr="00043184">
        <w:rPr>
          <w:iCs/>
        </w:rPr>
        <w:lastRenderedPageBreak/>
        <w:t xml:space="preserve">Prihodi od subjekata unutar općeg proračuna ostvaruju se sukladno dinamici realizacije radova unutar programa izvanrednog održavanja cesta i programa gradnje cesta. Planirani prihod od pomoći društva Hrvatske ceste d.o.o. ostvaruje se sukladno zaključenom Ugovoru o aktivnostima, reguliranju obveza i sufinanciranju radova izmicanja ŽC5033 izvan naselja </w:t>
      </w:r>
      <w:proofErr w:type="spellStart"/>
      <w:r w:rsidRPr="00043184">
        <w:rPr>
          <w:iCs/>
        </w:rPr>
        <w:t>Kuželj</w:t>
      </w:r>
      <w:proofErr w:type="spellEnd"/>
      <w:r w:rsidRPr="00043184">
        <w:rPr>
          <w:iCs/>
        </w:rPr>
        <w:t xml:space="preserve">, </w:t>
      </w:r>
      <w:proofErr w:type="spellStart"/>
      <w:r w:rsidRPr="00043184">
        <w:rPr>
          <w:iCs/>
        </w:rPr>
        <w:t>Grbajel</w:t>
      </w:r>
      <w:proofErr w:type="spellEnd"/>
      <w:r w:rsidRPr="00043184">
        <w:rPr>
          <w:iCs/>
        </w:rPr>
        <w:t xml:space="preserve"> i Guče Selo</w:t>
      </w:r>
      <w:r w:rsidR="00B8785C" w:rsidRPr="00043184">
        <w:rPr>
          <w:iCs/>
        </w:rPr>
        <w:t>.</w:t>
      </w:r>
    </w:p>
    <w:p w14:paraId="678327B8" w14:textId="77777777" w:rsidR="007C63F9" w:rsidRDefault="007C63F9" w:rsidP="00817C60">
      <w:r w:rsidRPr="007C63F9">
        <w:t>Prihodi od pomoći od subjekata unutar općeg proračuna ostvareni su kako slijedi u nastavku:</w:t>
      </w:r>
    </w:p>
    <w:p w14:paraId="6B148899" w14:textId="7F937D9D" w:rsidR="00AB4983" w:rsidRDefault="00AB4983" w:rsidP="007C63F9">
      <w:pPr>
        <w:pStyle w:val="Opisslike"/>
        <w:keepNext/>
        <w:spacing w:after="120"/>
        <w:rPr>
          <w:i w:val="0"/>
          <w:color w:val="222A35" w:themeColor="text2" w:themeShade="80"/>
          <w:sz w:val="22"/>
          <w:szCs w:val="22"/>
        </w:rPr>
      </w:pPr>
      <w:bookmarkStart w:id="26" w:name="_Toc224047003"/>
      <w:r w:rsidRPr="0020248B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20248B">
        <w:rPr>
          <w:i w:val="0"/>
          <w:color w:val="222A35" w:themeColor="text2" w:themeShade="80"/>
          <w:sz w:val="22"/>
          <w:szCs w:val="22"/>
        </w:rPr>
        <w:fldChar w:fldCharType="begin"/>
      </w:r>
      <w:r w:rsidRPr="0020248B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20248B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3</w:t>
      </w:r>
      <w:r w:rsidRPr="0020248B">
        <w:rPr>
          <w:i w:val="0"/>
          <w:color w:val="222A35" w:themeColor="text2" w:themeShade="80"/>
          <w:sz w:val="22"/>
          <w:szCs w:val="22"/>
        </w:rPr>
        <w:fldChar w:fldCharType="end"/>
      </w:r>
      <w:r w:rsidRPr="0020248B">
        <w:rPr>
          <w:i w:val="0"/>
          <w:color w:val="222A35" w:themeColor="text2" w:themeShade="80"/>
          <w:sz w:val="22"/>
          <w:szCs w:val="22"/>
        </w:rPr>
        <w:t xml:space="preserve">. </w:t>
      </w:r>
      <w:r w:rsidR="00043184">
        <w:rPr>
          <w:i w:val="0"/>
          <w:color w:val="222A35" w:themeColor="text2" w:themeShade="80"/>
          <w:sz w:val="22"/>
          <w:szCs w:val="22"/>
        </w:rPr>
        <w:t>Prihodi od p</w:t>
      </w:r>
      <w:r w:rsidRPr="0020248B">
        <w:rPr>
          <w:i w:val="0"/>
          <w:color w:val="222A35" w:themeColor="text2" w:themeShade="80"/>
          <w:sz w:val="22"/>
          <w:szCs w:val="22"/>
        </w:rPr>
        <w:t xml:space="preserve">omoći od subjekata unutar općeg proračuna </w:t>
      </w:r>
      <w:r w:rsidR="00043184">
        <w:rPr>
          <w:i w:val="0"/>
          <w:color w:val="222A35" w:themeColor="text2" w:themeShade="80"/>
          <w:sz w:val="22"/>
          <w:szCs w:val="22"/>
        </w:rPr>
        <w:t>ostvareni u</w:t>
      </w:r>
      <w:r w:rsidRPr="0020248B">
        <w:rPr>
          <w:i w:val="0"/>
          <w:color w:val="222A35" w:themeColor="text2" w:themeShade="80"/>
          <w:sz w:val="22"/>
          <w:szCs w:val="22"/>
        </w:rPr>
        <w:t xml:space="preserve"> 202</w:t>
      </w:r>
      <w:r w:rsidR="000227B7">
        <w:rPr>
          <w:i w:val="0"/>
          <w:color w:val="222A35" w:themeColor="text2" w:themeShade="80"/>
          <w:sz w:val="22"/>
          <w:szCs w:val="22"/>
        </w:rPr>
        <w:t>5</w:t>
      </w:r>
      <w:r w:rsidRPr="0020248B">
        <w:rPr>
          <w:i w:val="0"/>
          <w:color w:val="222A35" w:themeColor="text2" w:themeShade="80"/>
          <w:sz w:val="22"/>
          <w:szCs w:val="22"/>
        </w:rPr>
        <w:t>. godin</w:t>
      </w:r>
      <w:r w:rsidR="0020248B" w:rsidRPr="0020248B">
        <w:rPr>
          <w:i w:val="0"/>
          <w:color w:val="222A35" w:themeColor="text2" w:themeShade="80"/>
          <w:sz w:val="22"/>
          <w:szCs w:val="22"/>
        </w:rPr>
        <w:t>i</w:t>
      </w:r>
      <w:bookmarkEnd w:id="26"/>
    </w:p>
    <w:tbl>
      <w:tblPr>
        <w:tblW w:w="9745" w:type="dxa"/>
        <w:jc w:val="center"/>
        <w:tblLook w:val="04A0" w:firstRow="1" w:lastRow="0" w:firstColumn="1" w:lastColumn="0" w:noHBand="0" w:noVBand="1"/>
      </w:tblPr>
      <w:tblGrid>
        <w:gridCol w:w="1129"/>
        <w:gridCol w:w="2410"/>
        <w:gridCol w:w="1985"/>
        <w:gridCol w:w="1701"/>
        <w:gridCol w:w="1559"/>
        <w:gridCol w:w="961"/>
      </w:tblGrid>
      <w:tr w:rsidR="000227B7" w:rsidRPr="000227B7" w14:paraId="0822ECB3" w14:textId="77777777" w:rsidTr="000227B7">
        <w:trPr>
          <w:trHeight w:val="480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FDE868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Oznaka ceste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C9DC2F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Dionica/Lokacija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10E165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Grad/Općina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A3D63B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5E56B2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Ostvarenje 2025.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30CC85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5./4.</w:t>
            </w:r>
          </w:p>
        </w:tc>
      </w:tr>
      <w:tr w:rsidR="000227B7" w:rsidRPr="000227B7" w14:paraId="32303DFF" w14:textId="77777777" w:rsidTr="005F50B4">
        <w:trPr>
          <w:trHeight w:val="152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DF5576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DE5FD2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60EA780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B3C936C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DF0595E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A161C3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0227B7" w:rsidRPr="000227B7" w14:paraId="69AAD632" w14:textId="77777777" w:rsidTr="000227B7">
        <w:trPr>
          <w:trHeight w:val="28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73666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LC58019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EF44C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Zoretići</w:t>
            </w:r>
            <w:proofErr w:type="spellEnd"/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- </w:t>
            </w:r>
            <w:proofErr w:type="spellStart"/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Kukuljani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ECA38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Jelenje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0B28B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29.197,84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DE3D0F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29.197,84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95BFC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0227B7" w:rsidRPr="000227B7" w14:paraId="53E289C6" w14:textId="77777777" w:rsidTr="000227B7">
        <w:trPr>
          <w:trHeight w:val="28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81B8C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LC58054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5AC77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Kostrena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62C92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Kostrena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8A0A1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6EDD2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E6702" w14:textId="71AA47F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softHyphen/>
            </w:r>
            <w:r w:rsidR="00695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227B7" w:rsidRPr="000227B7" w14:paraId="17DA0731" w14:textId="77777777" w:rsidTr="000227B7">
        <w:trPr>
          <w:trHeight w:val="28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C46CC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LC58067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4E018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Rasopasno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5C658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Dobrinj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6FEB4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30.446,58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6060C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30.446,58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DF37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0227B7" w:rsidRPr="000227B7" w14:paraId="561034C7" w14:textId="77777777" w:rsidTr="000227B7">
        <w:trPr>
          <w:trHeight w:val="28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529DD9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LC58086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E4667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Krk, Vrh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FBC94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24778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28.897,15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C87EF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28.897,15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79E4A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0227B7" w:rsidRPr="000227B7" w14:paraId="1ECD636B" w14:textId="77777777" w:rsidTr="000227B7">
        <w:trPr>
          <w:trHeight w:val="28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5A377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ŽC5047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CD8A9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Matulji-Belići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895D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Kastav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27094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5B5A8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6CA59" w14:textId="2C97C0C6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softHyphen/>
            </w:r>
            <w:r w:rsidR="00695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227B7" w:rsidRPr="000227B7" w14:paraId="7CB33EFF" w14:textId="77777777" w:rsidTr="000227B7">
        <w:trPr>
          <w:trHeight w:val="28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BC45B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ŽC5086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8B1A5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Malinska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3F7F0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Malinska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B625E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162.000,00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9821E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43.707,63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AE2A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26,98</w:t>
            </w:r>
          </w:p>
        </w:tc>
      </w:tr>
      <w:tr w:rsidR="000227B7" w:rsidRPr="000227B7" w14:paraId="4FB35233" w14:textId="77777777" w:rsidTr="000227B7">
        <w:trPr>
          <w:trHeight w:val="28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4B041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ŽC5087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A6B95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Šilo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DEEEC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Dobrinj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3ABA1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188.964,10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CBF570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188.144,11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9B23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99,57</w:t>
            </w:r>
          </w:p>
        </w:tc>
      </w:tr>
      <w:tr w:rsidR="000227B7" w:rsidRPr="000227B7" w14:paraId="3528FAF9" w14:textId="77777777" w:rsidTr="000227B7">
        <w:trPr>
          <w:trHeight w:val="28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5491E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ŽC5138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2CE87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Turističko naselje San Marino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9E795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Lopar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63778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174.151,58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A9F21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174.151,59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9918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0227B7" w:rsidRPr="000227B7" w14:paraId="451598FC" w14:textId="77777777" w:rsidTr="000227B7">
        <w:trPr>
          <w:trHeight w:val="28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0E05A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ŽC5183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B9184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Vrbnik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7755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Vrbnik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0BBD7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22F748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49.736,96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4646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49,74</w:t>
            </w:r>
          </w:p>
        </w:tc>
      </w:tr>
      <w:tr w:rsidR="000227B7" w:rsidRPr="000227B7" w14:paraId="22E97184" w14:textId="77777777" w:rsidTr="000227B7">
        <w:trPr>
          <w:trHeight w:val="28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AE62B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ŽC5183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CEBAC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Vrbnik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D61C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Vrbnik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7EBF4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88.547,37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3CC2D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88.547,37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C0B2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0227B7" w:rsidRPr="000227B7" w14:paraId="658F3F00" w14:textId="77777777" w:rsidTr="000227B7">
        <w:trPr>
          <w:trHeight w:val="28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48A60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ŽC5219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D7245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Ravno-Pleteno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A266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Novi Vinodolski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3FB06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16.562,50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1D21A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D668" w14:textId="54CB3116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softHyphen/>
            </w:r>
            <w:r w:rsidR="00695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0227B7" w:rsidRPr="000227B7" w14:paraId="06289781" w14:textId="77777777" w:rsidTr="000227B7">
        <w:trPr>
          <w:trHeight w:val="283"/>
          <w:jc w:val="center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370E06E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 GRADOVI/OPĆINE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C5EB859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1.035.767,12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D306C0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632.829,23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B6B41E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61,10</w:t>
            </w:r>
          </w:p>
        </w:tc>
      </w:tr>
      <w:tr w:rsidR="000227B7" w:rsidRPr="000227B7" w14:paraId="57974520" w14:textId="77777777" w:rsidTr="000227B7">
        <w:trPr>
          <w:trHeight w:val="28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D09B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ŽC 5033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7B29C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Kuželj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BDE84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Hrvatske ceste d.o.o.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4519B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2.141.000,00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B977A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1.397.639,37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EF9F1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65,28</w:t>
            </w:r>
          </w:p>
        </w:tc>
      </w:tr>
      <w:tr w:rsidR="000227B7" w:rsidRPr="000227B7" w14:paraId="06CBD61D" w14:textId="77777777" w:rsidTr="000227B7">
        <w:trPr>
          <w:trHeight w:val="283"/>
          <w:jc w:val="center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143CDC4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39BCB0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2.141.000,00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084F4E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1.397.639,37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CD732FD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65,28</w:t>
            </w:r>
          </w:p>
        </w:tc>
      </w:tr>
      <w:tr w:rsidR="000227B7" w:rsidRPr="000227B7" w14:paraId="521B25A5" w14:textId="77777777" w:rsidTr="000227B7">
        <w:trPr>
          <w:trHeight w:val="283"/>
          <w:jc w:val="center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54E1C939" w14:textId="1997ED24" w:rsidR="000227B7" w:rsidRPr="000227B7" w:rsidRDefault="00043184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PRIHODI OD POMOĆI</w:t>
            </w:r>
            <w:r w:rsid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SVEUKUPNO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74F1781E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3.176.767,12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6E9A0856" w14:textId="77777777" w:rsidR="000227B7" w:rsidRPr="000227B7" w:rsidRDefault="000227B7" w:rsidP="000227B7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2.030.468,60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263ECBBF" w14:textId="77777777" w:rsidR="000227B7" w:rsidRPr="000227B7" w:rsidRDefault="000227B7" w:rsidP="000227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0227B7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63,92</w:t>
            </w:r>
          </w:p>
        </w:tc>
      </w:tr>
    </w:tbl>
    <w:p w14:paraId="77C992EC" w14:textId="77777777" w:rsidR="000B3A72" w:rsidRDefault="000B3A72" w:rsidP="007A33C7">
      <w:pPr>
        <w:spacing w:before="120" w:after="120" w:line="240" w:lineRule="auto"/>
        <w:jc w:val="both"/>
        <w:rPr>
          <w:rFonts w:cstheme="minorHAnsi"/>
          <w:b/>
        </w:rPr>
      </w:pPr>
      <w:r w:rsidRPr="00CD5B87">
        <w:rPr>
          <w:rFonts w:cstheme="minorHAnsi"/>
          <w:b/>
        </w:rPr>
        <w:t>Prihodi od imovine</w:t>
      </w:r>
    </w:p>
    <w:p w14:paraId="760E4EF6" w14:textId="1642F324" w:rsidR="000B3A72" w:rsidRPr="00CD5B87" w:rsidRDefault="000B3A72" w:rsidP="007A33C7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Prihodi od imovine planir</w:t>
      </w:r>
      <w:r w:rsidR="00704B4D">
        <w:rPr>
          <w:rFonts w:cstheme="minorHAnsi"/>
        </w:rPr>
        <w:t xml:space="preserve">ani su u iznosu od </w:t>
      </w:r>
      <w:r w:rsidR="00895BEB">
        <w:rPr>
          <w:rFonts w:cstheme="minorHAnsi"/>
        </w:rPr>
        <w:t>13.218.540,71</w:t>
      </w:r>
      <w:r w:rsidR="000B0D04">
        <w:rPr>
          <w:rFonts w:cstheme="minorHAnsi"/>
        </w:rPr>
        <w:t xml:space="preserve"> eur</w:t>
      </w:r>
      <w:r w:rsidR="00B34523">
        <w:rPr>
          <w:rFonts w:cstheme="minorHAnsi"/>
        </w:rPr>
        <w:t>a</w:t>
      </w:r>
      <w:r w:rsidRPr="00CD5B87">
        <w:rPr>
          <w:rFonts w:cstheme="minorHAnsi"/>
        </w:rPr>
        <w:t xml:space="preserve">, a ostvareni u </w:t>
      </w:r>
      <w:r w:rsidR="00F70156">
        <w:rPr>
          <w:rFonts w:cstheme="minorHAnsi"/>
        </w:rPr>
        <w:t>i</w:t>
      </w:r>
      <w:r w:rsidR="00704B4D">
        <w:rPr>
          <w:rFonts w:cstheme="minorHAnsi"/>
        </w:rPr>
        <w:t xml:space="preserve">znosu od </w:t>
      </w:r>
      <w:r w:rsidR="00895BEB">
        <w:rPr>
          <w:rFonts w:cstheme="minorHAnsi"/>
        </w:rPr>
        <w:t>13.597.543,69</w:t>
      </w:r>
      <w:r w:rsidR="000B0D04">
        <w:rPr>
          <w:rFonts w:cstheme="minorHAnsi"/>
        </w:rPr>
        <w:t xml:space="preserve"> eur</w:t>
      </w:r>
      <w:r w:rsidR="00B34523">
        <w:rPr>
          <w:rFonts w:cstheme="minorHAnsi"/>
        </w:rPr>
        <w:t>a</w:t>
      </w:r>
      <w:r w:rsidR="00704B4D">
        <w:rPr>
          <w:rFonts w:cstheme="minorHAnsi"/>
        </w:rPr>
        <w:t xml:space="preserve"> što čini </w:t>
      </w:r>
      <w:r w:rsidR="00895BEB">
        <w:rPr>
          <w:rFonts w:cstheme="minorHAnsi"/>
        </w:rPr>
        <w:t>102,87</w:t>
      </w:r>
      <w:r w:rsidRPr="00CD5B87">
        <w:rPr>
          <w:rFonts w:cstheme="minorHAnsi"/>
        </w:rPr>
        <w:t>% godišnjeg plana. U odnosu na isto razdoblje pretho</w:t>
      </w:r>
      <w:r w:rsidR="00F70156">
        <w:rPr>
          <w:rFonts w:cstheme="minorHAnsi"/>
        </w:rPr>
        <w:t>dn</w:t>
      </w:r>
      <w:r w:rsidR="00704B4D">
        <w:rPr>
          <w:rFonts w:cstheme="minorHAnsi"/>
        </w:rPr>
        <w:t>e godine ostvareni prihodi veći</w:t>
      </w:r>
      <w:r w:rsidR="00F70156">
        <w:rPr>
          <w:rFonts w:cstheme="minorHAnsi"/>
        </w:rPr>
        <w:t xml:space="preserve"> su </w:t>
      </w:r>
      <w:r w:rsidR="00704B4D">
        <w:rPr>
          <w:rFonts w:cstheme="minorHAnsi"/>
        </w:rPr>
        <w:t xml:space="preserve">za </w:t>
      </w:r>
      <w:r w:rsidR="00895BEB">
        <w:rPr>
          <w:rFonts w:cstheme="minorHAnsi"/>
        </w:rPr>
        <w:t>555.405,76</w:t>
      </w:r>
      <w:r w:rsidR="000B0D04">
        <w:rPr>
          <w:rFonts w:cstheme="minorHAnsi"/>
        </w:rPr>
        <w:t xml:space="preserve"> eur</w:t>
      </w:r>
      <w:r w:rsidR="00B34523">
        <w:rPr>
          <w:rFonts w:cstheme="minorHAnsi"/>
        </w:rPr>
        <w:t>a</w:t>
      </w:r>
      <w:r w:rsidR="00D64FCE">
        <w:rPr>
          <w:rFonts w:cstheme="minorHAnsi"/>
        </w:rPr>
        <w:t xml:space="preserve"> ili </w:t>
      </w:r>
      <w:r w:rsidR="00895BEB">
        <w:rPr>
          <w:rFonts w:cstheme="minorHAnsi"/>
        </w:rPr>
        <w:t>4,</w:t>
      </w:r>
      <w:r w:rsidR="00857E44">
        <w:rPr>
          <w:rFonts w:cstheme="minorHAnsi"/>
        </w:rPr>
        <w:t>26</w:t>
      </w:r>
      <w:r w:rsidR="00C07B10">
        <w:rPr>
          <w:rFonts w:cstheme="minorHAnsi"/>
        </w:rPr>
        <w:t xml:space="preserve">%. </w:t>
      </w:r>
      <w:r w:rsidRPr="00CD5B87">
        <w:rPr>
          <w:rFonts w:cstheme="minorHAnsi"/>
        </w:rPr>
        <w:t>Ostvarene prihode od imovine čine prihodi od financijske imovine i prihodi od nefinancijske imovine.</w:t>
      </w:r>
    </w:p>
    <w:p w14:paraId="308FE92D" w14:textId="63DEB0D3" w:rsidR="000B3A72" w:rsidRDefault="000B3A72" w:rsidP="0041420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</w:rPr>
      </w:pPr>
      <w:r w:rsidRPr="00FB4B53">
        <w:rPr>
          <w:rFonts w:cstheme="minorHAnsi"/>
          <w:b/>
        </w:rPr>
        <w:t xml:space="preserve">Prihodi od financijske imovine </w:t>
      </w:r>
      <w:r w:rsidR="00F70156" w:rsidRPr="00FB4B53">
        <w:rPr>
          <w:rFonts w:cstheme="minorHAnsi"/>
        </w:rPr>
        <w:t>os</w:t>
      </w:r>
      <w:r w:rsidR="00FF4F88" w:rsidRPr="00FB4B53">
        <w:rPr>
          <w:rFonts w:cstheme="minorHAnsi"/>
        </w:rPr>
        <w:t>tvareni</w:t>
      </w:r>
      <w:r w:rsidR="007A33C7" w:rsidRPr="00FB4B53">
        <w:rPr>
          <w:rFonts w:cstheme="minorHAnsi"/>
        </w:rPr>
        <w:t xml:space="preserve"> su u iznosu </w:t>
      </w:r>
      <w:r w:rsidR="003D3C93">
        <w:rPr>
          <w:rFonts w:cstheme="minorHAnsi"/>
        </w:rPr>
        <w:t xml:space="preserve">od </w:t>
      </w:r>
      <w:r w:rsidR="00895BEB">
        <w:rPr>
          <w:rFonts w:cstheme="minorHAnsi"/>
        </w:rPr>
        <w:t xml:space="preserve">13.916,64 </w:t>
      </w:r>
      <w:r w:rsidR="000B0D04">
        <w:rPr>
          <w:rFonts w:cstheme="minorHAnsi"/>
        </w:rPr>
        <w:t>eur</w:t>
      </w:r>
      <w:r w:rsidR="00B34523">
        <w:rPr>
          <w:rFonts w:cstheme="minorHAnsi"/>
        </w:rPr>
        <w:t>a</w:t>
      </w:r>
      <w:r w:rsidR="007A33C7" w:rsidRPr="00FB4B53">
        <w:rPr>
          <w:rFonts w:cstheme="minorHAnsi"/>
        </w:rPr>
        <w:t xml:space="preserve"> ili</w:t>
      </w:r>
      <w:r w:rsidR="00B34523">
        <w:rPr>
          <w:rFonts w:cstheme="minorHAnsi"/>
        </w:rPr>
        <w:t xml:space="preserve"> </w:t>
      </w:r>
      <w:r w:rsidR="00895BEB">
        <w:rPr>
          <w:rFonts w:cstheme="minorHAnsi"/>
        </w:rPr>
        <w:t>99,9</w:t>
      </w:r>
      <w:r w:rsidR="00043184">
        <w:rPr>
          <w:rFonts w:cstheme="minorHAnsi"/>
        </w:rPr>
        <w:t>0</w:t>
      </w:r>
      <w:r w:rsidR="00FF4F88" w:rsidRPr="00FB4B53">
        <w:rPr>
          <w:rFonts w:cstheme="minorHAnsi"/>
        </w:rPr>
        <w:t xml:space="preserve">% godišnjeg plana što je </w:t>
      </w:r>
      <w:r w:rsidR="007A33C7" w:rsidRPr="00FB4B53">
        <w:rPr>
          <w:rFonts w:cstheme="minorHAnsi"/>
        </w:rPr>
        <w:t xml:space="preserve">za </w:t>
      </w:r>
      <w:r w:rsidR="00895BEB">
        <w:rPr>
          <w:rFonts w:cstheme="minorHAnsi"/>
        </w:rPr>
        <w:t>31,8</w:t>
      </w:r>
      <w:r w:rsidR="00857E44">
        <w:rPr>
          <w:rFonts w:cstheme="minorHAnsi"/>
        </w:rPr>
        <w:t>4</w:t>
      </w:r>
      <w:r w:rsidR="009D3F11">
        <w:rPr>
          <w:rFonts w:cstheme="minorHAnsi"/>
        </w:rPr>
        <w:t xml:space="preserve">% </w:t>
      </w:r>
      <w:r w:rsidR="00895BEB">
        <w:rPr>
          <w:rFonts w:cstheme="minorHAnsi"/>
        </w:rPr>
        <w:t>manje</w:t>
      </w:r>
      <w:r w:rsidR="009D3F11">
        <w:rPr>
          <w:rFonts w:cstheme="minorHAnsi"/>
        </w:rPr>
        <w:t xml:space="preserve"> </w:t>
      </w:r>
      <w:r w:rsidRPr="00FB4B53">
        <w:rPr>
          <w:rFonts w:cstheme="minorHAnsi"/>
        </w:rPr>
        <w:t>u</w:t>
      </w:r>
      <w:r w:rsidR="00EC3298" w:rsidRPr="00FB4B53">
        <w:rPr>
          <w:rFonts w:cstheme="minorHAnsi"/>
        </w:rPr>
        <w:t xml:space="preserve"> odnosu na isto razdoblje prethodne </w:t>
      </w:r>
      <w:r w:rsidRPr="00FB4B53">
        <w:rPr>
          <w:rFonts w:cstheme="minorHAnsi"/>
        </w:rPr>
        <w:t xml:space="preserve">godine, a odnose se na prihode </w:t>
      </w:r>
      <w:r w:rsidR="00F70156" w:rsidRPr="00FB4B53">
        <w:rPr>
          <w:rFonts w:cstheme="minorHAnsi"/>
        </w:rPr>
        <w:t xml:space="preserve">od kamata na novčana sredstva na transakcijskom računu u Privrednoj banci </w:t>
      </w:r>
      <w:r w:rsidR="003D3C93" w:rsidRPr="00FB4B53">
        <w:rPr>
          <w:rFonts w:cstheme="minorHAnsi"/>
        </w:rPr>
        <w:t xml:space="preserve">Zagreb </w:t>
      </w:r>
      <w:r w:rsidR="00F70156" w:rsidRPr="00FB4B53">
        <w:rPr>
          <w:rFonts w:cstheme="minorHAnsi"/>
        </w:rPr>
        <w:t xml:space="preserve">d.d. </w:t>
      </w:r>
      <w:r w:rsidR="00FF4F88" w:rsidRPr="00FB4B53">
        <w:rPr>
          <w:rFonts w:cstheme="minorHAnsi"/>
        </w:rPr>
        <w:t xml:space="preserve">(u iznosu od </w:t>
      </w:r>
      <w:r w:rsidR="00895BEB">
        <w:rPr>
          <w:rFonts w:cstheme="minorHAnsi"/>
        </w:rPr>
        <w:t>6.985,93</w:t>
      </w:r>
      <w:r w:rsidR="000B0D04">
        <w:rPr>
          <w:rFonts w:cstheme="minorHAnsi"/>
        </w:rPr>
        <w:t xml:space="preserve"> eur</w:t>
      </w:r>
      <w:r w:rsidR="0041420F">
        <w:rPr>
          <w:rFonts w:cstheme="minorHAnsi"/>
        </w:rPr>
        <w:t>a</w:t>
      </w:r>
      <w:r w:rsidR="00FF4F88" w:rsidRPr="00FB4B53">
        <w:rPr>
          <w:rFonts w:cstheme="minorHAnsi"/>
        </w:rPr>
        <w:t>) i prihode od zateznih k</w:t>
      </w:r>
      <w:r w:rsidR="000B0D04">
        <w:rPr>
          <w:rFonts w:cstheme="minorHAnsi"/>
        </w:rPr>
        <w:t xml:space="preserve">amata u iznosu od </w:t>
      </w:r>
      <w:r w:rsidR="00895BEB">
        <w:rPr>
          <w:rFonts w:cstheme="minorHAnsi"/>
        </w:rPr>
        <w:t>6.930,71</w:t>
      </w:r>
      <w:r w:rsidR="000B0D04">
        <w:rPr>
          <w:rFonts w:cstheme="minorHAnsi"/>
        </w:rPr>
        <w:t xml:space="preserve"> eur</w:t>
      </w:r>
      <w:r w:rsidR="0041420F">
        <w:rPr>
          <w:rFonts w:cstheme="minorHAnsi"/>
        </w:rPr>
        <w:t>a</w:t>
      </w:r>
      <w:r w:rsidR="00D64FCE" w:rsidRPr="00FB4B53">
        <w:rPr>
          <w:rFonts w:cstheme="minorHAnsi"/>
        </w:rPr>
        <w:t>.</w:t>
      </w:r>
      <w:r w:rsidR="00AC3FD3" w:rsidRPr="00FB4B53">
        <w:rPr>
          <w:rFonts w:cstheme="minorHAnsi"/>
        </w:rPr>
        <w:t xml:space="preserve"> Zatezne kamate su ostvarene temeljem Rješenja o ovrsi Općinskog građanskog suda u Zagrebu nad </w:t>
      </w:r>
      <w:proofErr w:type="spellStart"/>
      <w:r w:rsidR="00AC3FD3" w:rsidRPr="00FB4B53">
        <w:rPr>
          <w:rFonts w:cstheme="minorHAnsi"/>
        </w:rPr>
        <w:t>ovršenikom</w:t>
      </w:r>
      <w:proofErr w:type="spellEnd"/>
      <w:r w:rsidR="00BD5C9C">
        <w:rPr>
          <w:rFonts w:cstheme="minorHAnsi"/>
        </w:rPr>
        <w:t xml:space="preserve"> </w:t>
      </w:r>
      <w:r w:rsidR="00AC3FD3" w:rsidRPr="00FB4B53">
        <w:rPr>
          <w:rFonts w:cstheme="minorHAnsi"/>
        </w:rPr>
        <w:t>Hrvatski</w:t>
      </w:r>
      <w:r w:rsidR="00BD5C9C">
        <w:rPr>
          <w:rFonts w:cstheme="minorHAnsi"/>
        </w:rPr>
        <w:t xml:space="preserve"> telekom</w:t>
      </w:r>
      <w:r w:rsidR="00AC3FD3" w:rsidRPr="00FB4B53">
        <w:rPr>
          <w:rFonts w:cstheme="minorHAnsi"/>
        </w:rPr>
        <w:t xml:space="preserve"> d.d., a radi naplate naknade za korištenj</w:t>
      </w:r>
      <w:r w:rsidR="00480611">
        <w:rPr>
          <w:rFonts w:cstheme="minorHAnsi"/>
        </w:rPr>
        <w:t>e županijskih i lokalnih cesta</w:t>
      </w:r>
      <w:r w:rsidR="00AC3FD3" w:rsidRPr="00FB4B53">
        <w:rPr>
          <w:rFonts w:cstheme="minorHAnsi"/>
        </w:rPr>
        <w:t xml:space="preserve"> na području Primorsko-goranske županije za iz</w:t>
      </w:r>
      <w:r w:rsidR="007A33C7" w:rsidRPr="00FB4B53">
        <w:rPr>
          <w:rFonts w:cstheme="minorHAnsi"/>
        </w:rPr>
        <w:t>gradnju i održavanje elektroničk</w:t>
      </w:r>
      <w:r w:rsidR="00AC3FD3" w:rsidRPr="00FB4B53">
        <w:rPr>
          <w:rFonts w:cstheme="minorHAnsi"/>
        </w:rPr>
        <w:t xml:space="preserve">o komunikacijske infrastrukture. </w:t>
      </w:r>
      <w:r w:rsidR="0041420F">
        <w:rPr>
          <w:rFonts w:eastAsia="Times New Roman" w:cstheme="minorHAnsi"/>
        </w:rPr>
        <w:t xml:space="preserve">Prihodi od zateznih kamata se </w:t>
      </w:r>
      <w:r w:rsidR="00F20A0D">
        <w:rPr>
          <w:rFonts w:eastAsia="Times New Roman" w:cstheme="minorHAnsi"/>
        </w:rPr>
        <w:t xml:space="preserve">smanjuju </w:t>
      </w:r>
      <w:r w:rsidR="0041420F">
        <w:rPr>
          <w:rFonts w:eastAsia="Times New Roman" w:cstheme="minorHAnsi"/>
        </w:rPr>
        <w:t>u 202</w:t>
      </w:r>
      <w:r w:rsidR="00F20A0D">
        <w:rPr>
          <w:rFonts w:eastAsia="Times New Roman" w:cstheme="minorHAnsi"/>
        </w:rPr>
        <w:t>5</w:t>
      </w:r>
      <w:r w:rsidR="0041420F">
        <w:rPr>
          <w:rFonts w:eastAsia="Times New Roman" w:cstheme="minorHAnsi"/>
        </w:rPr>
        <w:t>. godini u odnosu na 202</w:t>
      </w:r>
      <w:r w:rsidR="00F20A0D">
        <w:rPr>
          <w:rFonts w:eastAsia="Times New Roman" w:cstheme="minorHAnsi"/>
        </w:rPr>
        <w:t>4</w:t>
      </w:r>
      <w:r w:rsidR="0041420F">
        <w:rPr>
          <w:rFonts w:eastAsia="Times New Roman" w:cstheme="minorHAnsi"/>
        </w:rPr>
        <w:t xml:space="preserve">. godinu za </w:t>
      </w:r>
      <w:r w:rsidR="00F20A0D" w:rsidRPr="00F20A0D">
        <w:rPr>
          <w:rFonts w:eastAsia="Times New Roman" w:cstheme="minorHAnsi"/>
        </w:rPr>
        <w:t>47,3</w:t>
      </w:r>
      <w:r w:rsidR="00857E44">
        <w:rPr>
          <w:rFonts w:eastAsia="Times New Roman" w:cstheme="minorHAnsi"/>
        </w:rPr>
        <w:t>1</w:t>
      </w:r>
      <w:r w:rsidR="00F20A0D" w:rsidRPr="00F20A0D">
        <w:rPr>
          <w:rFonts w:eastAsia="Times New Roman" w:cstheme="minorHAnsi"/>
        </w:rPr>
        <w:t>%, budući prihod od zateznih kamata ovisi</w:t>
      </w:r>
      <w:r w:rsidR="00F20A0D">
        <w:rPr>
          <w:rFonts w:eastAsia="Times New Roman" w:cstheme="minorHAnsi"/>
        </w:rPr>
        <w:t xml:space="preserve"> o vremenskom periodu </w:t>
      </w:r>
      <w:r w:rsidR="000B0438">
        <w:rPr>
          <w:rFonts w:eastAsia="Times New Roman" w:cstheme="minorHAnsi"/>
        </w:rPr>
        <w:t xml:space="preserve">kašnjenja </w:t>
      </w:r>
      <w:r w:rsidR="00F20A0D">
        <w:rPr>
          <w:rFonts w:eastAsia="Times New Roman" w:cstheme="minorHAnsi"/>
        </w:rPr>
        <w:t>plaćanja</w:t>
      </w:r>
      <w:r w:rsidR="0041420F">
        <w:rPr>
          <w:rFonts w:eastAsia="Times New Roman" w:cstheme="minorHAnsi"/>
        </w:rPr>
        <w:t xml:space="preserve"> </w:t>
      </w:r>
      <w:r w:rsidR="000B0438">
        <w:rPr>
          <w:rFonts w:eastAsia="Times New Roman" w:cstheme="minorHAnsi"/>
        </w:rPr>
        <w:t>obveze nakon dospijeća.</w:t>
      </w:r>
    </w:p>
    <w:p w14:paraId="1BF12211" w14:textId="3B267EAA" w:rsidR="00857E44" w:rsidRDefault="000B3A72" w:rsidP="0041420F">
      <w:pPr>
        <w:spacing w:before="120" w:after="120" w:line="240" w:lineRule="auto"/>
        <w:jc w:val="both"/>
        <w:rPr>
          <w:rFonts w:cstheme="minorHAnsi"/>
        </w:rPr>
      </w:pPr>
      <w:r w:rsidRPr="0041420F">
        <w:rPr>
          <w:rFonts w:cstheme="minorHAnsi"/>
          <w:b/>
        </w:rPr>
        <w:t>Prihodi od nefinancijske imovine</w:t>
      </w:r>
      <w:r w:rsidRPr="0041420F">
        <w:rPr>
          <w:rFonts w:cstheme="minorHAnsi"/>
        </w:rPr>
        <w:t xml:space="preserve"> obuhvaćaju prihode od naknada za</w:t>
      </w:r>
      <w:r w:rsidR="00C7297A">
        <w:rPr>
          <w:rFonts w:cstheme="minorHAnsi"/>
        </w:rPr>
        <w:t xml:space="preserve"> uporabu javnih cesta</w:t>
      </w:r>
      <w:r w:rsidR="00E87CFF" w:rsidRPr="0041420F">
        <w:rPr>
          <w:rFonts w:cstheme="minorHAnsi"/>
        </w:rPr>
        <w:t>,</w:t>
      </w:r>
      <w:r w:rsidR="000142A9" w:rsidRPr="0041420F">
        <w:rPr>
          <w:rFonts w:cstheme="minorHAnsi"/>
        </w:rPr>
        <w:t xml:space="preserve"> naknade za izvanredni prijevoz</w:t>
      </w:r>
      <w:r w:rsidRPr="0041420F">
        <w:rPr>
          <w:rFonts w:cstheme="minorHAnsi"/>
        </w:rPr>
        <w:t xml:space="preserve">, </w:t>
      </w:r>
      <w:r w:rsidR="00E87CFF" w:rsidRPr="0041420F">
        <w:rPr>
          <w:rFonts w:cstheme="minorHAnsi"/>
        </w:rPr>
        <w:t>naknada za korištenje cestovnog zemljišta</w:t>
      </w:r>
      <w:r w:rsidR="0041420F">
        <w:rPr>
          <w:rFonts w:cstheme="minorHAnsi"/>
        </w:rPr>
        <w:t xml:space="preserve"> i naknada za korištenje cestovnog zemljišta</w:t>
      </w:r>
      <w:r w:rsidR="000B0438">
        <w:rPr>
          <w:rFonts w:cstheme="minorHAnsi"/>
        </w:rPr>
        <w:t xml:space="preserve"> </w:t>
      </w:r>
      <w:r w:rsidR="0041420F">
        <w:rPr>
          <w:rFonts w:cstheme="minorHAnsi"/>
        </w:rPr>
        <w:t>-</w:t>
      </w:r>
      <w:r w:rsidR="000B0438">
        <w:rPr>
          <w:rFonts w:cstheme="minorHAnsi"/>
        </w:rPr>
        <w:t xml:space="preserve"> </w:t>
      </w:r>
      <w:r w:rsidR="0041420F">
        <w:rPr>
          <w:rFonts w:cstheme="minorHAnsi"/>
        </w:rPr>
        <w:t>prava služnosti</w:t>
      </w:r>
      <w:r w:rsidR="00E87CFF" w:rsidRPr="0041420F">
        <w:rPr>
          <w:rFonts w:cstheme="minorHAnsi"/>
        </w:rPr>
        <w:t xml:space="preserve">, </w:t>
      </w:r>
      <w:r w:rsidRPr="0041420F">
        <w:rPr>
          <w:rFonts w:cstheme="minorHAnsi"/>
        </w:rPr>
        <w:t>a ostvar</w:t>
      </w:r>
      <w:r w:rsidR="000142A9" w:rsidRPr="0041420F">
        <w:rPr>
          <w:rFonts w:cstheme="minorHAnsi"/>
        </w:rPr>
        <w:t xml:space="preserve">eni su u iznosu od </w:t>
      </w:r>
      <w:r w:rsidR="00F20A0D">
        <w:rPr>
          <w:rFonts w:cstheme="minorHAnsi"/>
        </w:rPr>
        <w:t>13.583.627,05</w:t>
      </w:r>
      <w:r w:rsidR="000B0D04" w:rsidRPr="0041420F">
        <w:rPr>
          <w:rFonts w:cstheme="minorHAnsi"/>
        </w:rPr>
        <w:t xml:space="preserve"> eur</w:t>
      </w:r>
      <w:r w:rsidR="0041420F">
        <w:rPr>
          <w:rFonts w:cstheme="minorHAnsi"/>
        </w:rPr>
        <w:t>a</w:t>
      </w:r>
      <w:r w:rsidR="000142A9" w:rsidRPr="0041420F">
        <w:rPr>
          <w:rFonts w:cstheme="minorHAnsi"/>
        </w:rPr>
        <w:t xml:space="preserve"> ili </w:t>
      </w:r>
      <w:r w:rsidR="00F20A0D">
        <w:rPr>
          <w:rFonts w:cstheme="minorHAnsi"/>
        </w:rPr>
        <w:t>102,87</w:t>
      </w:r>
      <w:r w:rsidRPr="0041420F">
        <w:rPr>
          <w:rFonts w:cstheme="minorHAnsi"/>
        </w:rPr>
        <w:t>% godišnjeg plana.</w:t>
      </w:r>
    </w:p>
    <w:p w14:paraId="422E7CF6" w14:textId="22D405F4" w:rsidR="00E87CFF" w:rsidRPr="00697EC0" w:rsidRDefault="00480611" w:rsidP="00E87CFF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Prihodi</w:t>
      </w:r>
      <w:r w:rsidR="00E87CFF" w:rsidRPr="00697EC0">
        <w:rPr>
          <w:rFonts w:eastAsia="Times New Roman" w:cstheme="minorHAnsi"/>
        </w:rPr>
        <w:t xml:space="preserve"> od nefinancijske imovine ostvareni su kako slijedi:</w:t>
      </w:r>
    </w:p>
    <w:p w14:paraId="7E3E78EE" w14:textId="145BF6D1" w:rsidR="00A34CAD" w:rsidRPr="00697EC0" w:rsidRDefault="00E87CFF" w:rsidP="00944B9D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40" w:lineRule="auto"/>
        <w:ind w:left="130" w:hanging="130"/>
        <w:contextualSpacing w:val="0"/>
        <w:jc w:val="both"/>
        <w:rPr>
          <w:rFonts w:eastAsiaTheme="minorEastAsia" w:cstheme="minorHAnsi"/>
          <w:lang w:eastAsia="hr-HR"/>
        </w:rPr>
      </w:pPr>
      <w:r w:rsidRPr="00697EC0">
        <w:rPr>
          <w:rFonts w:eastAsia="Times New Roman" w:cstheme="minorHAnsi"/>
        </w:rPr>
        <w:t>p</w:t>
      </w:r>
      <w:r w:rsidRPr="00697EC0">
        <w:rPr>
          <w:rFonts w:eastAsiaTheme="minorEastAsia" w:cstheme="minorHAnsi"/>
          <w:lang w:eastAsia="hr-HR"/>
        </w:rPr>
        <w:t>rihodi od godišnje naknade za uporabu javnih cesta koja se plaća pri registraciji motornih i priključnih vozila</w:t>
      </w:r>
      <w:r w:rsidR="00A34CAD" w:rsidRPr="00697EC0">
        <w:rPr>
          <w:rFonts w:eastAsiaTheme="minorEastAsia" w:cstheme="minorHAnsi"/>
          <w:lang w:eastAsia="hr-HR"/>
        </w:rPr>
        <w:t xml:space="preserve"> </w:t>
      </w:r>
      <w:r w:rsidRPr="00697EC0">
        <w:rPr>
          <w:rFonts w:eastAsiaTheme="minorEastAsia" w:cstheme="minorHAnsi"/>
          <w:lang w:eastAsia="hr-HR"/>
        </w:rPr>
        <w:t xml:space="preserve">u iznosu od </w:t>
      </w:r>
      <w:r w:rsidR="00F20A0D">
        <w:rPr>
          <w:rFonts w:eastAsiaTheme="minorEastAsia" w:cstheme="minorHAnsi"/>
          <w:lang w:eastAsia="hr-HR"/>
        </w:rPr>
        <w:t>13.080.290,46</w:t>
      </w:r>
      <w:r w:rsidRPr="00697EC0">
        <w:rPr>
          <w:rFonts w:eastAsiaTheme="minorEastAsia" w:cstheme="minorHAnsi"/>
          <w:lang w:eastAsia="hr-HR"/>
        </w:rPr>
        <w:t xml:space="preserve"> eur</w:t>
      </w:r>
      <w:r w:rsidR="0041420F">
        <w:rPr>
          <w:rFonts w:eastAsiaTheme="minorEastAsia" w:cstheme="minorHAnsi"/>
          <w:lang w:eastAsia="hr-HR"/>
        </w:rPr>
        <w:t>a</w:t>
      </w:r>
      <w:r w:rsidRPr="00697EC0">
        <w:rPr>
          <w:rFonts w:eastAsiaTheme="minorEastAsia" w:cstheme="minorHAnsi"/>
          <w:lang w:eastAsia="hr-HR"/>
        </w:rPr>
        <w:t xml:space="preserve"> (ostvareno </w:t>
      </w:r>
      <w:r w:rsidR="00F20A0D">
        <w:rPr>
          <w:rFonts w:eastAsiaTheme="minorEastAsia" w:cstheme="minorHAnsi"/>
          <w:lang w:eastAsia="hr-HR"/>
        </w:rPr>
        <w:t>3,35</w:t>
      </w:r>
      <w:r w:rsidRPr="00697EC0">
        <w:rPr>
          <w:rFonts w:eastAsiaTheme="minorEastAsia" w:cstheme="minorHAnsi"/>
          <w:lang w:eastAsia="hr-HR"/>
        </w:rPr>
        <w:t>% više u odnosu na is</w:t>
      </w:r>
      <w:r w:rsidR="00A626A5">
        <w:rPr>
          <w:rFonts w:eastAsiaTheme="minorEastAsia" w:cstheme="minorHAnsi"/>
          <w:lang w:eastAsia="hr-HR"/>
        </w:rPr>
        <w:t>to razdoblje prethodne godine),</w:t>
      </w:r>
    </w:p>
    <w:p w14:paraId="48A5CFA2" w14:textId="562E3BFD" w:rsidR="00A34CAD" w:rsidRDefault="00E87CFF" w:rsidP="00944B9D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40" w:lineRule="auto"/>
        <w:ind w:left="130" w:hanging="130"/>
        <w:contextualSpacing w:val="0"/>
        <w:jc w:val="both"/>
        <w:rPr>
          <w:rFonts w:eastAsiaTheme="minorEastAsia" w:cstheme="minorHAnsi"/>
          <w:lang w:eastAsia="hr-HR"/>
        </w:rPr>
      </w:pPr>
      <w:r w:rsidRPr="00697EC0">
        <w:rPr>
          <w:rFonts w:eastAsiaTheme="minorEastAsia" w:cstheme="minorHAnsi"/>
          <w:lang w:eastAsia="hr-HR"/>
        </w:rPr>
        <w:t xml:space="preserve">naknade za korištenje cestovnog zemljišta u iznosu od </w:t>
      </w:r>
      <w:r w:rsidR="00F20A0D">
        <w:rPr>
          <w:rFonts w:eastAsiaTheme="minorEastAsia" w:cstheme="minorHAnsi"/>
          <w:lang w:eastAsia="hr-HR"/>
        </w:rPr>
        <w:t>486.505,63</w:t>
      </w:r>
      <w:r w:rsidRPr="00697EC0">
        <w:rPr>
          <w:rFonts w:eastAsiaTheme="minorEastAsia" w:cstheme="minorHAnsi"/>
          <w:lang w:eastAsia="hr-HR"/>
        </w:rPr>
        <w:t xml:space="preserve"> eur</w:t>
      </w:r>
      <w:r w:rsidR="0041420F">
        <w:rPr>
          <w:rFonts w:eastAsiaTheme="minorEastAsia" w:cstheme="minorHAnsi"/>
          <w:lang w:eastAsia="hr-HR"/>
        </w:rPr>
        <w:t>a</w:t>
      </w:r>
      <w:r w:rsidRPr="00697EC0">
        <w:rPr>
          <w:rFonts w:eastAsiaTheme="minorEastAsia" w:cstheme="minorHAnsi"/>
          <w:lang w:eastAsia="hr-HR"/>
        </w:rPr>
        <w:t xml:space="preserve"> (ostvareno </w:t>
      </w:r>
      <w:r w:rsidR="00D81AA8">
        <w:rPr>
          <w:rFonts w:eastAsiaTheme="minorEastAsia" w:cstheme="minorHAnsi"/>
          <w:lang w:eastAsia="hr-HR"/>
        </w:rPr>
        <w:t>38,09</w:t>
      </w:r>
      <w:r w:rsidRPr="00697EC0">
        <w:rPr>
          <w:rFonts w:eastAsiaTheme="minorEastAsia" w:cstheme="minorHAnsi"/>
          <w:lang w:eastAsia="hr-HR"/>
        </w:rPr>
        <w:t xml:space="preserve">% </w:t>
      </w:r>
      <w:r w:rsidR="00D81AA8">
        <w:rPr>
          <w:rFonts w:eastAsiaTheme="minorEastAsia" w:cstheme="minorHAnsi"/>
          <w:lang w:eastAsia="hr-HR"/>
        </w:rPr>
        <w:t>više</w:t>
      </w:r>
      <w:r w:rsidRPr="00697EC0">
        <w:rPr>
          <w:rFonts w:eastAsiaTheme="minorEastAsia" w:cstheme="minorHAnsi"/>
          <w:lang w:eastAsia="hr-HR"/>
        </w:rPr>
        <w:t xml:space="preserve"> u odnosu na ist</w:t>
      </w:r>
      <w:r w:rsidR="00A17E33">
        <w:rPr>
          <w:rFonts w:eastAsiaTheme="minorEastAsia" w:cstheme="minorHAnsi"/>
          <w:lang w:eastAsia="hr-HR"/>
        </w:rPr>
        <w:t>o razdoblje prethodne godine),</w:t>
      </w:r>
    </w:p>
    <w:p w14:paraId="0464B4F4" w14:textId="55B81807" w:rsidR="0041420F" w:rsidRPr="00A85A3B" w:rsidRDefault="0041420F" w:rsidP="00944B9D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40" w:lineRule="auto"/>
        <w:ind w:left="142" w:hanging="142"/>
        <w:contextualSpacing w:val="0"/>
        <w:jc w:val="both"/>
        <w:rPr>
          <w:rFonts w:eastAsiaTheme="minorEastAsia" w:cstheme="minorHAnsi"/>
          <w:lang w:eastAsia="hr-HR"/>
        </w:rPr>
      </w:pPr>
      <w:r w:rsidRPr="00697EC0">
        <w:rPr>
          <w:rFonts w:eastAsiaTheme="minorEastAsia" w:cstheme="minorHAnsi"/>
          <w:lang w:eastAsia="hr-HR"/>
        </w:rPr>
        <w:t>naknade za korištenje cestovnog zemljišta</w:t>
      </w:r>
      <w:r>
        <w:rPr>
          <w:rFonts w:eastAsiaTheme="minorEastAsia" w:cstheme="minorHAnsi"/>
          <w:lang w:eastAsia="hr-HR"/>
        </w:rPr>
        <w:t xml:space="preserve"> – pravo služnosti</w:t>
      </w:r>
      <w:r w:rsidRPr="00697EC0">
        <w:rPr>
          <w:rFonts w:eastAsiaTheme="minorEastAsia" w:cstheme="minorHAnsi"/>
          <w:lang w:eastAsia="hr-HR"/>
        </w:rPr>
        <w:t xml:space="preserve"> u iznosu od </w:t>
      </w:r>
      <w:r w:rsidR="00D81AA8">
        <w:rPr>
          <w:rFonts w:eastAsiaTheme="minorEastAsia" w:cstheme="minorHAnsi"/>
          <w:lang w:eastAsia="hr-HR"/>
        </w:rPr>
        <w:t>12.756,16</w:t>
      </w:r>
      <w:r w:rsidRPr="00697EC0">
        <w:rPr>
          <w:rFonts w:eastAsiaTheme="minorEastAsia" w:cstheme="minorHAnsi"/>
          <w:lang w:eastAsia="hr-HR"/>
        </w:rPr>
        <w:t xml:space="preserve"> eur</w:t>
      </w:r>
      <w:r>
        <w:rPr>
          <w:rFonts w:eastAsiaTheme="minorEastAsia" w:cstheme="minorHAnsi"/>
          <w:lang w:eastAsia="hr-HR"/>
        </w:rPr>
        <w:t>a</w:t>
      </w:r>
      <w:r w:rsidRPr="00697EC0">
        <w:rPr>
          <w:rFonts w:eastAsiaTheme="minorEastAsia" w:cstheme="minorHAnsi"/>
          <w:lang w:eastAsia="hr-HR"/>
        </w:rPr>
        <w:t xml:space="preserve"> (</w:t>
      </w:r>
      <w:r w:rsidR="00D81AA8" w:rsidRPr="00D81AA8">
        <w:rPr>
          <w:rFonts w:eastAsiaTheme="minorEastAsia" w:cstheme="minorHAnsi"/>
          <w:lang w:eastAsia="hr-HR"/>
        </w:rPr>
        <w:t xml:space="preserve">ostvareno </w:t>
      </w:r>
      <w:r w:rsidR="00D81AA8">
        <w:rPr>
          <w:rFonts w:eastAsiaTheme="minorEastAsia" w:cstheme="minorHAnsi"/>
          <w:lang w:eastAsia="hr-HR"/>
        </w:rPr>
        <w:t>55,5</w:t>
      </w:r>
      <w:r w:rsidR="00C7297A">
        <w:rPr>
          <w:rFonts w:eastAsiaTheme="minorEastAsia" w:cstheme="minorHAnsi"/>
          <w:lang w:eastAsia="hr-HR"/>
        </w:rPr>
        <w:t>0</w:t>
      </w:r>
      <w:r w:rsidR="00D81AA8" w:rsidRPr="00D81AA8">
        <w:rPr>
          <w:rFonts w:eastAsiaTheme="minorEastAsia" w:cstheme="minorHAnsi"/>
          <w:lang w:eastAsia="hr-HR"/>
        </w:rPr>
        <w:t>% više u odnosu na isto razdoblje prethodne godine</w:t>
      </w:r>
      <w:r>
        <w:rPr>
          <w:rFonts w:eastAsiaTheme="minorEastAsia" w:cstheme="minorHAnsi"/>
          <w:lang w:eastAsia="hr-HR"/>
        </w:rPr>
        <w:t>),</w:t>
      </w:r>
    </w:p>
    <w:p w14:paraId="736AE159" w14:textId="2DE3453E" w:rsidR="00E87CFF" w:rsidRPr="00697EC0" w:rsidRDefault="00E87CFF" w:rsidP="00944B9D">
      <w:pPr>
        <w:pStyle w:val="Odlomakpopisa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120" w:after="120" w:line="240" w:lineRule="auto"/>
        <w:ind w:left="130" w:hanging="130"/>
        <w:contextualSpacing w:val="0"/>
        <w:jc w:val="both"/>
        <w:rPr>
          <w:rFonts w:eastAsiaTheme="minorEastAsia" w:cstheme="minorHAnsi"/>
          <w:lang w:eastAsia="hr-HR"/>
        </w:rPr>
      </w:pPr>
      <w:r w:rsidRPr="00697EC0">
        <w:rPr>
          <w:rFonts w:eastAsiaTheme="minorEastAsia" w:cstheme="minorHAnsi"/>
          <w:lang w:eastAsia="hr-HR"/>
        </w:rPr>
        <w:lastRenderedPageBreak/>
        <w:t>naknade za izvanredni pr</w:t>
      </w:r>
      <w:r w:rsidR="00505785">
        <w:rPr>
          <w:rFonts w:eastAsiaTheme="minorEastAsia" w:cstheme="minorHAnsi"/>
          <w:lang w:eastAsia="hr-HR"/>
        </w:rPr>
        <w:t xml:space="preserve">ijevoz u iznosu od </w:t>
      </w:r>
      <w:r w:rsidR="00D81AA8">
        <w:rPr>
          <w:rFonts w:eastAsiaTheme="minorEastAsia" w:cstheme="minorHAnsi"/>
          <w:lang w:eastAsia="hr-HR"/>
        </w:rPr>
        <w:t>4.074,80</w:t>
      </w:r>
      <w:r w:rsidR="00505785">
        <w:rPr>
          <w:rFonts w:eastAsiaTheme="minorEastAsia" w:cstheme="minorHAnsi"/>
          <w:lang w:eastAsia="hr-HR"/>
        </w:rPr>
        <w:t xml:space="preserve"> eur</w:t>
      </w:r>
      <w:r w:rsidR="00A85A3B">
        <w:rPr>
          <w:rFonts w:eastAsiaTheme="minorEastAsia" w:cstheme="minorHAnsi"/>
          <w:lang w:eastAsia="hr-HR"/>
        </w:rPr>
        <w:t xml:space="preserve">a </w:t>
      </w:r>
      <w:r w:rsidR="00A85A3B" w:rsidRPr="00697EC0">
        <w:rPr>
          <w:rFonts w:eastAsiaTheme="minorEastAsia" w:cstheme="minorHAnsi"/>
          <w:lang w:eastAsia="hr-HR"/>
        </w:rPr>
        <w:t>(ostvareno</w:t>
      </w:r>
      <w:r w:rsidR="00D81AA8">
        <w:rPr>
          <w:rFonts w:eastAsiaTheme="minorEastAsia" w:cstheme="minorHAnsi"/>
          <w:lang w:eastAsia="hr-HR"/>
        </w:rPr>
        <w:t xml:space="preserve"> 22,64</w:t>
      </w:r>
      <w:r w:rsidR="00A85A3B" w:rsidRPr="00697EC0">
        <w:rPr>
          <w:rFonts w:eastAsiaTheme="minorEastAsia" w:cstheme="minorHAnsi"/>
          <w:lang w:eastAsia="hr-HR"/>
        </w:rPr>
        <w:t xml:space="preserve">% </w:t>
      </w:r>
      <w:r w:rsidR="00D81AA8">
        <w:rPr>
          <w:rFonts w:eastAsiaTheme="minorEastAsia" w:cstheme="minorHAnsi"/>
          <w:lang w:eastAsia="hr-HR"/>
        </w:rPr>
        <w:t>manje</w:t>
      </w:r>
      <w:r w:rsidR="00A85A3B" w:rsidRPr="00697EC0">
        <w:rPr>
          <w:rFonts w:eastAsiaTheme="minorEastAsia" w:cstheme="minorHAnsi"/>
          <w:lang w:eastAsia="hr-HR"/>
        </w:rPr>
        <w:t xml:space="preserve"> u odnosu na ist</w:t>
      </w:r>
      <w:r w:rsidR="00A85A3B">
        <w:rPr>
          <w:rFonts w:eastAsiaTheme="minorEastAsia" w:cstheme="minorHAnsi"/>
          <w:lang w:eastAsia="hr-HR"/>
        </w:rPr>
        <w:t>o razdoblje prethodne godine)</w:t>
      </w:r>
      <w:r w:rsidR="00505785">
        <w:rPr>
          <w:rFonts w:eastAsiaTheme="minorEastAsia" w:cstheme="minorHAnsi"/>
          <w:lang w:eastAsia="hr-HR"/>
        </w:rPr>
        <w:t>.</w:t>
      </w:r>
    </w:p>
    <w:p w14:paraId="43D0BD46" w14:textId="22997187" w:rsidR="00D502D6" w:rsidRDefault="00D502D6" w:rsidP="00A85A3B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D502D6">
        <w:rPr>
          <w:rFonts w:eastAsiaTheme="minorEastAsia" w:cstheme="minorHAnsi"/>
          <w:lang w:eastAsia="hr-HR"/>
        </w:rPr>
        <w:t>Povećanje ostvarenih prihoda od godišnje naknade za uporabu javnih cesta u 2025. godini u usporedbi s istim razdobljem prethodne godine rezultat je povećanja broja registriranih vozila čiji vlasnici imaju prebivalište ili sjedište na području Primorsko-goranske županije. U 2025. godini registrirano je 194.042 vozila što je 3,</w:t>
      </w:r>
      <w:r w:rsidR="007C69DF">
        <w:rPr>
          <w:rFonts w:eastAsiaTheme="minorEastAsia" w:cstheme="minorHAnsi"/>
          <w:lang w:eastAsia="hr-HR"/>
        </w:rPr>
        <w:t>8</w:t>
      </w:r>
      <w:r w:rsidRPr="00D502D6">
        <w:rPr>
          <w:rFonts w:eastAsiaTheme="minorEastAsia" w:cstheme="minorHAnsi"/>
          <w:lang w:eastAsia="hr-HR"/>
        </w:rPr>
        <w:t>% više u usporedbi s prethodnom godinom.</w:t>
      </w:r>
    </w:p>
    <w:p w14:paraId="05851E45" w14:textId="5CA07B1B" w:rsidR="000C74F0" w:rsidRPr="000C74F0" w:rsidRDefault="000C74F0" w:rsidP="000C74F0">
      <w:pPr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0C74F0">
        <w:rPr>
          <w:rFonts w:eastAsiaTheme="minorEastAsia" w:cstheme="minorHAnsi"/>
          <w:lang w:eastAsia="hr-HR"/>
        </w:rPr>
        <w:t xml:space="preserve">Prihodi od naknada za korištenje cestovnog zemljišta ostvareni su na temelju zaključenih ugovora o korištenju cestovnog zemljišta i obavljanju pratećih djelatnosti, </w:t>
      </w:r>
      <w:r w:rsidR="00A905AC">
        <w:rPr>
          <w:rFonts w:eastAsiaTheme="minorEastAsia" w:cstheme="minorHAnsi"/>
          <w:lang w:eastAsia="hr-HR"/>
        </w:rPr>
        <w:t xml:space="preserve">te </w:t>
      </w:r>
      <w:r w:rsidRPr="000C74F0">
        <w:rPr>
          <w:rFonts w:eastAsiaTheme="minorEastAsia" w:cstheme="minorHAnsi"/>
          <w:lang w:eastAsia="hr-HR"/>
        </w:rPr>
        <w:t xml:space="preserve">ugovora o postavljanju reklamnih ploča na </w:t>
      </w:r>
      <w:r w:rsidR="00891854">
        <w:rPr>
          <w:rFonts w:eastAsiaTheme="minorEastAsia" w:cstheme="minorHAnsi"/>
          <w:lang w:eastAsia="hr-HR"/>
        </w:rPr>
        <w:t>županijskim i lokalnim cestama.</w:t>
      </w:r>
      <w:r w:rsidR="004D59B0">
        <w:rPr>
          <w:rFonts w:eastAsiaTheme="minorEastAsia" w:cstheme="minorHAnsi"/>
          <w:lang w:eastAsia="hr-HR"/>
        </w:rPr>
        <w:t xml:space="preserve"> </w:t>
      </w:r>
      <w:r w:rsidR="004D59B0" w:rsidRPr="000C74F0">
        <w:rPr>
          <w:rFonts w:eastAsiaTheme="minorEastAsia" w:cstheme="minorHAnsi"/>
          <w:lang w:eastAsia="hr-HR"/>
        </w:rPr>
        <w:t xml:space="preserve">Navedeni prihodi bilježe povećanje od </w:t>
      </w:r>
      <w:r w:rsidR="004D59B0">
        <w:rPr>
          <w:rFonts w:eastAsiaTheme="minorEastAsia" w:cstheme="minorHAnsi"/>
          <w:lang w:eastAsia="hr-HR"/>
        </w:rPr>
        <w:t>38,09</w:t>
      </w:r>
      <w:r w:rsidR="004D59B0" w:rsidRPr="000C74F0">
        <w:rPr>
          <w:rFonts w:eastAsiaTheme="minorEastAsia" w:cstheme="minorHAnsi"/>
          <w:lang w:eastAsia="hr-HR"/>
        </w:rPr>
        <w:t xml:space="preserve">% </w:t>
      </w:r>
      <w:r w:rsidR="004D59B0" w:rsidRPr="00D502D6">
        <w:rPr>
          <w:rFonts w:eastAsiaTheme="minorEastAsia" w:cstheme="minorHAnsi"/>
          <w:lang w:eastAsia="hr-HR"/>
        </w:rPr>
        <w:t>u usporedbi s prethodnom godinom</w:t>
      </w:r>
      <w:r w:rsidR="004D59B0">
        <w:rPr>
          <w:rFonts w:eastAsiaTheme="minorEastAsia" w:cstheme="minorHAnsi"/>
          <w:lang w:eastAsia="hr-HR"/>
        </w:rPr>
        <w:t>.</w:t>
      </w:r>
    </w:p>
    <w:p w14:paraId="5AF7A991" w14:textId="4DB71168" w:rsidR="000C74F0" w:rsidRDefault="000C74F0" w:rsidP="000C74F0">
      <w:pPr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0C74F0">
        <w:rPr>
          <w:rFonts w:eastAsiaTheme="minorEastAsia" w:cstheme="minorHAnsi"/>
          <w:lang w:eastAsia="hr-HR"/>
        </w:rPr>
        <w:t xml:space="preserve">Prihodi od naknada za osnivanje prava služnosti ostvareni su na temelju zaključenih ugovora za osnivanje prava služnosti i građenja na cestovnom zemljištu. Navedeni prihodi bilježe povećanje od </w:t>
      </w:r>
      <w:r>
        <w:rPr>
          <w:rFonts w:eastAsiaTheme="minorEastAsia" w:cstheme="minorHAnsi"/>
          <w:lang w:eastAsia="hr-HR"/>
        </w:rPr>
        <w:t>55,5</w:t>
      </w:r>
      <w:r w:rsidR="000B0438">
        <w:rPr>
          <w:rFonts w:eastAsiaTheme="minorEastAsia" w:cstheme="minorHAnsi"/>
          <w:lang w:eastAsia="hr-HR"/>
        </w:rPr>
        <w:t>0</w:t>
      </w:r>
      <w:r w:rsidRPr="000C74F0">
        <w:rPr>
          <w:rFonts w:eastAsiaTheme="minorEastAsia" w:cstheme="minorHAnsi"/>
          <w:lang w:eastAsia="hr-HR"/>
        </w:rPr>
        <w:t xml:space="preserve">% </w:t>
      </w:r>
      <w:r w:rsidR="004D59B0" w:rsidRPr="00D502D6">
        <w:rPr>
          <w:rFonts w:eastAsiaTheme="minorEastAsia" w:cstheme="minorHAnsi"/>
          <w:lang w:eastAsia="hr-HR"/>
        </w:rPr>
        <w:t>u usporedbi s prethodnom godinom</w:t>
      </w:r>
      <w:r w:rsidR="004D59B0" w:rsidRPr="000C74F0">
        <w:rPr>
          <w:rFonts w:eastAsiaTheme="minorEastAsia" w:cstheme="minorHAnsi"/>
          <w:lang w:eastAsia="hr-HR"/>
        </w:rPr>
        <w:t xml:space="preserve"> </w:t>
      </w:r>
      <w:r w:rsidRPr="000C74F0">
        <w:rPr>
          <w:rFonts w:eastAsiaTheme="minorEastAsia" w:cstheme="minorHAnsi"/>
          <w:lang w:eastAsia="hr-HR"/>
        </w:rPr>
        <w:t xml:space="preserve">radi većeg </w:t>
      </w:r>
      <w:r w:rsidR="009456E4">
        <w:rPr>
          <w:rFonts w:eastAsiaTheme="minorEastAsia" w:cstheme="minorHAnsi"/>
          <w:lang w:eastAsia="hr-HR"/>
        </w:rPr>
        <w:t>broja zaključenih ugovora u tijeku</w:t>
      </w:r>
      <w:r w:rsidRPr="000C74F0">
        <w:rPr>
          <w:rFonts w:eastAsiaTheme="minorEastAsia" w:cstheme="minorHAnsi"/>
          <w:lang w:eastAsia="hr-HR"/>
        </w:rPr>
        <w:t xml:space="preserve"> 2025. godine.</w:t>
      </w:r>
    </w:p>
    <w:p w14:paraId="662592E3" w14:textId="6A30FD69" w:rsidR="007A33C7" w:rsidRDefault="00697EC0" w:rsidP="000C74F0">
      <w:pPr>
        <w:spacing w:before="120" w:after="120" w:line="240" w:lineRule="auto"/>
        <w:jc w:val="both"/>
        <w:rPr>
          <w:rFonts w:cstheme="minorHAnsi"/>
        </w:rPr>
      </w:pPr>
      <w:r w:rsidRPr="00A34CAD">
        <w:rPr>
          <w:rFonts w:cstheme="minorHAnsi"/>
        </w:rPr>
        <w:t>Ostvareni prihodi od godišnje naknade za uporabu javnih cesta, naknade za korištenje cestovnog zemljišta i naknade za izva</w:t>
      </w:r>
      <w:r w:rsidR="00A60A08">
        <w:rPr>
          <w:rFonts w:cstheme="minorHAnsi"/>
        </w:rPr>
        <w:t>nredni prijevoz prikazani su u T</w:t>
      </w:r>
      <w:r w:rsidRPr="00A34CAD">
        <w:rPr>
          <w:rFonts w:cstheme="minorHAnsi"/>
        </w:rPr>
        <w:t xml:space="preserve">ablici </w:t>
      </w:r>
      <w:r w:rsidR="00A60A08">
        <w:rPr>
          <w:rFonts w:cstheme="minorHAnsi"/>
        </w:rPr>
        <w:t>4</w:t>
      </w:r>
      <w:r w:rsidRPr="00A34CAD">
        <w:rPr>
          <w:rFonts w:cstheme="minorHAnsi"/>
        </w:rPr>
        <w:t>. u nastavku:</w:t>
      </w:r>
    </w:p>
    <w:p w14:paraId="44527F0C" w14:textId="5D96CA6C" w:rsidR="00055B85" w:rsidRDefault="00DD10AE" w:rsidP="00F8051A">
      <w:pPr>
        <w:pStyle w:val="Opisslike"/>
        <w:keepNext/>
        <w:spacing w:after="120"/>
        <w:ind w:left="936" w:hanging="936"/>
        <w:jc w:val="both"/>
        <w:rPr>
          <w:i w:val="0"/>
          <w:color w:val="222A35" w:themeColor="text2" w:themeShade="80"/>
          <w:sz w:val="22"/>
          <w:szCs w:val="22"/>
        </w:rPr>
      </w:pPr>
      <w:bookmarkStart w:id="27" w:name="_Toc109651258"/>
      <w:bookmarkStart w:id="28" w:name="_Toc224047004"/>
      <w:r w:rsidRPr="0020248B">
        <w:rPr>
          <w:i w:val="0"/>
          <w:color w:val="222A35" w:themeColor="text2" w:themeShade="80"/>
          <w:sz w:val="22"/>
        </w:rPr>
        <w:t xml:space="preserve">Tablica </w:t>
      </w:r>
      <w:r w:rsidR="003C0277" w:rsidRPr="0020248B">
        <w:rPr>
          <w:i w:val="0"/>
          <w:color w:val="222A35" w:themeColor="text2" w:themeShade="80"/>
          <w:sz w:val="22"/>
        </w:rPr>
        <w:fldChar w:fldCharType="begin"/>
      </w:r>
      <w:r w:rsidR="003C0277" w:rsidRPr="0020248B">
        <w:rPr>
          <w:i w:val="0"/>
          <w:color w:val="222A35" w:themeColor="text2" w:themeShade="80"/>
          <w:sz w:val="22"/>
        </w:rPr>
        <w:instrText xml:space="preserve"> SEQ Tablica \* ARABIC </w:instrText>
      </w:r>
      <w:r w:rsidR="003C0277" w:rsidRPr="0020248B">
        <w:rPr>
          <w:i w:val="0"/>
          <w:color w:val="222A35" w:themeColor="text2" w:themeShade="80"/>
          <w:sz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</w:rPr>
        <w:t>4</w:t>
      </w:r>
      <w:r w:rsidR="003C0277" w:rsidRPr="0020248B">
        <w:rPr>
          <w:i w:val="0"/>
          <w:color w:val="222A35" w:themeColor="text2" w:themeShade="80"/>
          <w:sz w:val="22"/>
        </w:rPr>
        <w:fldChar w:fldCharType="end"/>
      </w:r>
      <w:r w:rsidR="00CB138C" w:rsidRPr="0020248B">
        <w:rPr>
          <w:i w:val="0"/>
          <w:color w:val="222A35" w:themeColor="text2" w:themeShade="80"/>
          <w:sz w:val="22"/>
        </w:rPr>
        <w:t>.</w:t>
      </w:r>
      <w:r w:rsidR="00A8104D" w:rsidRPr="0020248B">
        <w:rPr>
          <w:i w:val="0"/>
          <w:color w:val="222A35" w:themeColor="text2" w:themeShade="80"/>
          <w:sz w:val="22"/>
        </w:rPr>
        <w:t xml:space="preserve"> </w:t>
      </w:r>
      <w:r w:rsidRPr="0020248B">
        <w:rPr>
          <w:i w:val="0"/>
          <w:color w:val="222A35" w:themeColor="text2" w:themeShade="80"/>
          <w:sz w:val="22"/>
          <w:szCs w:val="22"/>
        </w:rPr>
        <w:t>Ostvaren</w:t>
      </w:r>
      <w:r w:rsidR="00F35DB1" w:rsidRPr="0020248B">
        <w:rPr>
          <w:i w:val="0"/>
          <w:color w:val="222A35" w:themeColor="text2" w:themeShade="80"/>
          <w:sz w:val="22"/>
          <w:szCs w:val="22"/>
        </w:rPr>
        <w:t>i prihodi od naknade za ceste</w:t>
      </w:r>
      <w:r w:rsidRPr="0020248B">
        <w:rPr>
          <w:i w:val="0"/>
          <w:color w:val="222A35" w:themeColor="text2" w:themeShade="80"/>
          <w:sz w:val="22"/>
          <w:szCs w:val="22"/>
        </w:rPr>
        <w:t xml:space="preserve"> u </w:t>
      </w:r>
      <w:r w:rsidR="0031719F" w:rsidRPr="0020248B">
        <w:rPr>
          <w:i w:val="0"/>
          <w:color w:val="222A35" w:themeColor="text2" w:themeShade="80"/>
          <w:sz w:val="22"/>
          <w:szCs w:val="22"/>
        </w:rPr>
        <w:t>202</w:t>
      </w:r>
      <w:r w:rsidR="00DC1C5D">
        <w:rPr>
          <w:i w:val="0"/>
          <w:color w:val="222A35" w:themeColor="text2" w:themeShade="80"/>
          <w:sz w:val="22"/>
          <w:szCs w:val="22"/>
        </w:rPr>
        <w:t>5</w:t>
      </w:r>
      <w:r w:rsidR="0031719F" w:rsidRPr="0020248B">
        <w:rPr>
          <w:i w:val="0"/>
          <w:color w:val="222A35" w:themeColor="text2" w:themeShade="80"/>
          <w:sz w:val="22"/>
          <w:szCs w:val="22"/>
        </w:rPr>
        <w:t>. godin</w:t>
      </w:r>
      <w:r w:rsidR="003E2E17" w:rsidRPr="0020248B">
        <w:rPr>
          <w:i w:val="0"/>
          <w:color w:val="222A35" w:themeColor="text2" w:themeShade="80"/>
          <w:sz w:val="22"/>
          <w:szCs w:val="22"/>
        </w:rPr>
        <w:t>i</w:t>
      </w:r>
      <w:r w:rsidRPr="0020248B">
        <w:rPr>
          <w:i w:val="0"/>
          <w:color w:val="222A35" w:themeColor="text2" w:themeShade="80"/>
          <w:sz w:val="22"/>
          <w:szCs w:val="22"/>
        </w:rPr>
        <w:t xml:space="preserve"> s</w:t>
      </w:r>
      <w:r w:rsidR="0031719F" w:rsidRPr="0020248B">
        <w:rPr>
          <w:i w:val="0"/>
          <w:color w:val="222A35" w:themeColor="text2" w:themeShade="80"/>
          <w:sz w:val="22"/>
          <w:szCs w:val="22"/>
        </w:rPr>
        <w:t xml:space="preserve"> usporednim </w:t>
      </w:r>
      <w:r w:rsidRPr="0020248B">
        <w:rPr>
          <w:i w:val="0"/>
          <w:color w:val="222A35" w:themeColor="text2" w:themeShade="80"/>
          <w:sz w:val="22"/>
          <w:szCs w:val="22"/>
        </w:rPr>
        <w:t>pokazateljima ostvarenja u 202</w:t>
      </w:r>
      <w:r w:rsidR="00DC1C5D">
        <w:rPr>
          <w:i w:val="0"/>
          <w:color w:val="222A35" w:themeColor="text2" w:themeShade="80"/>
          <w:sz w:val="22"/>
          <w:szCs w:val="22"/>
        </w:rPr>
        <w:t>4</w:t>
      </w:r>
      <w:r w:rsidRPr="0020248B">
        <w:rPr>
          <w:i w:val="0"/>
          <w:color w:val="222A35" w:themeColor="text2" w:themeShade="80"/>
          <w:sz w:val="22"/>
          <w:szCs w:val="22"/>
        </w:rPr>
        <w:t>. godin</w:t>
      </w:r>
      <w:bookmarkEnd w:id="27"/>
      <w:r w:rsidR="00F8051A">
        <w:rPr>
          <w:i w:val="0"/>
          <w:color w:val="222A35" w:themeColor="text2" w:themeShade="80"/>
          <w:sz w:val="22"/>
          <w:szCs w:val="22"/>
        </w:rPr>
        <w:t>i</w:t>
      </w:r>
      <w:r w:rsidR="00872A9F" w:rsidRPr="00872A9F">
        <w:rPr>
          <w:rFonts w:cstheme="minorHAnsi"/>
          <w:i w:val="0"/>
          <w:color w:val="222A35" w:themeColor="text2" w:themeShade="80"/>
          <w:sz w:val="22"/>
          <w:szCs w:val="22"/>
        </w:rPr>
        <w:t xml:space="preserve"> </w:t>
      </w:r>
      <w:r w:rsidR="00872A9F">
        <w:rPr>
          <w:rFonts w:cstheme="minorHAnsi"/>
          <w:i w:val="0"/>
          <w:color w:val="222A35" w:themeColor="text2" w:themeShade="80"/>
          <w:sz w:val="22"/>
          <w:szCs w:val="22"/>
        </w:rPr>
        <w:t>i izvornog plana za 2025. godinu</w:t>
      </w:r>
      <w:bookmarkEnd w:id="28"/>
    </w:p>
    <w:tbl>
      <w:tblPr>
        <w:tblW w:w="9659" w:type="dxa"/>
        <w:jc w:val="center"/>
        <w:tblLook w:val="04A0" w:firstRow="1" w:lastRow="0" w:firstColumn="1" w:lastColumn="0" w:noHBand="0" w:noVBand="1"/>
      </w:tblPr>
      <w:tblGrid>
        <w:gridCol w:w="553"/>
        <w:gridCol w:w="3841"/>
        <w:gridCol w:w="1276"/>
        <w:gridCol w:w="1276"/>
        <w:gridCol w:w="1275"/>
        <w:gridCol w:w="719"/>
        <w:gridCol w:w="719"/>
      </w:tblGrid>
      <w:tr w:rsidR="00DC1C5D" w:rsidRPr="007168ED" w14:paraId="00D71E05" w14:textId="77777777" w:rsidTr="00DC1C5D">
        <w:trPr>
          <w:trHeight w:val="480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A655CB1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DA1BFC7" w14:textId="34B2E5FC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  <w:r w:rsidR="00143C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računa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31470817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Ostvarenje </w:t>
            </w: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D0E292F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34EA6D8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Ostvarenje</w:t>
            </w: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 2025.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B63A435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 5./3.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89F42EC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 5./4.</w:t>
            </w:r>
          </w:p>
        </w:tc>
      </w:tr>
      <w:tr w:rsidR="00DC1C5D" w:rsidRPr="007168ED" w14:paraId="7EB7AD52" w14:textId="77777777" w:rsidTr="00DC1C5D">
        <w:trPr>
          <w:trHeight w:val="70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7A767D4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C470AD4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5C775203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892259D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9B9E0C9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7AF1564F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78905FE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</w:tr>
      <w:tr w:rsidR="00DC1C5D" w:rsidRPr="007168ED" w14:paraId="42C8B5BF" w14:textId="77777777" w:rsidTr="00DC1C5D">
        <w:trPr>
          <w:trHeight w:val="283"/>
          <w:jc w:val="center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67813100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Prihodi od nefinancijske imovine (račun 642) (1.+2.+3.+4.)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6241C3E9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13.021.721,53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1005A59A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13.204.610,00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43AEC443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13.583.627,05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22AC047A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/>
            <w:vAlign w:val="center"/>
            <w:hideMark/>
          </w:tcPr>
          <w:p w14:paraId="3C347065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102,87</w:t>
            </w:r>
          </w:p>
        </w:tc>
      </w:tr>
      <w:tr w:rsidR="00DC1C5D" w:rsidRPr="007168ED" w14:paraId="67BC6F16" w14:textId="77777777" w:rsidTr="00DC1C5D">
        <w:trPr>
          <w:trHeight w:val="28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8F13F2C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A114C35" w14:textId="77777777" w:rsidR="007168ED" w:rsidRPr="007168ED" w:rsidRDefault="007168ED" w:rsidP="0071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Ostvareni prihodi od godišnje naknade za uporabu javnih cesta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4A56333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12.655.949,88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7DB5C1E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12.811.110,00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569B468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13.080.290,46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33AB486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103,35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E2C621A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102,10</w:t>
            </w:r>
          </w:p>
        </w:tc>
      </w:tr>
      <w:tr w:rsidR="00DC1C5D" w:rsidRPr="007168ED" w14:paraId="29CEBA81" w14:textId="77777777" w:rsidTr="00DC1C5D">
        <w:trPr>
          <w:trHeight w:val="28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918F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EA60" w14:textId="77777777" w:rsidR="007168ED" w:rsidRPr="007168ED" w:rsidRDefault="007168ED" w:rsidP="0071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Ostvarena godišnja naknada za uporabu javnih cesta – doznake stanica za tehnički pregled vozila i izravne uplate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2D08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12.745.096,55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62AC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475D" w14:textId="1835ACCD" w:rsidR="007168ED" w:rsidRPr="007168ED" w:rsidRDefault="007168ED" w:rsidP="00DA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</w:t>
            </w:r>
            <w:r w:rsidR="00DA3E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992.048,16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67D52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101,91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29805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C1C5D" w:rsidRPr="007168ED" w14:paraId="17362733" w14:textId="77777777" w:rsidTr="00DC1C5D">
        <w:trPr>
          <w:trHeight w:val="28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B3A9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6190" w14:textId="77777777" w:rsidR="007168ED" w:rsidRPr="007168ED" w:rsidRDefault="007168ED" w:rsidP="0071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Izvršeni povrati godišnje naknade za uporabu javnih cesta – odjave vozila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DC539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-23.750,45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1BE9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8B64" w14:textId="2E4C1CBF" w:rsidR="007168ED" w:rsidRPr="007168ED" w:rsidRDefault="007168ED" w:rsidP="00DA3E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  <w:r w:rsidR="00DA3E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30.541,62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35BAF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113,51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1390B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C1C5D" w:rsidRPr="007168ED" w14:paraId="3A140FC0" w14:textId="77777777" w:rsidTr="00DC1C5D">
        <w:trPr>
          <w:trHeight w:val="28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9EF4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0BECC" w14:textId="77777777" w:rsidR="007168ED" w:rsidRPr="007168ED" w:rsidRDefault="007168ED" w:rsidP="0071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Ostvarena godišnja naknada za uporabu javnih cesta – MMPI</w:t>
            </w: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  <w:lang w:eastAsia="hr-H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6EE0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112.897,12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6E40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7626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118.783,92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97508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105,21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B9D08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DC1C5D" w:rsidRPr="007168ED" w14:paraId="2B0CF8ED" w14:textId="77777777" w:rsidTr="00DC1C5D">
        <w:trPr>
          <w:trHeight w:val="28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EAD1C68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2278B96" w14:textId="77777777" w:rsidR="007168ED" w:rsidRPr="007168ED" w:rsidRDefault="007168ED" w:rsidP="0071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Naknada za korištenje cestovnog zemljišta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222D01D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352.301,10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C969B1D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8C97252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486.505,63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33336289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138,09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557F98A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128,03</w:t>
            </w:r>
          </w:p>
        </w:tc>
      </w:tr>
      <w:tr w:rsidR="00DC1C5D" w:rsidRPr="007168ED" w14:paraId="6CA07BF0" w14:textId="77777777" w:rsidTr="00DC1C5D">
        <w:trPr>
          <w:trHeight w:val="28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2BB6751D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11B7AB49" w14:textId="77777777" w:rsidR="007168ED" w:rsidRPr="007168ED" w:rsidRDefault="007168ED" w:rsidP="0071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Naknada za korištenje cestovnog zemljišta - pravo služnosti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4E32C983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8.203,40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D699710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26D4E694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12.756,16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09E8438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155,50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6C434AFB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141,74</w:t>
            </w:r>
          </w:p>
        </w:tc>
      </w:tr>
      <w:tr w:rsidR="00DC1C5D" w:rsidRPr="007168ED" w14:paraId="56548C10" w14:textId="77777777" w:rsidTr="00DC1C5D">
        <w:trPr>
          <w:trHeight w:val="283"/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63BF90A9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471D8194" w14:textId="77777777" w:rsidR="007168ED" w:rsidRPr="007168ED" w:rsidRDefault="007168ED" w:rsidP="007168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Naknada za izvanredni prijevoz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5200F0F8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5.267,15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14:paraId="09292AA5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0B55B989" w14:textId="77777777" w:rsidR="007168ED" w:rsidRPr="007168ED" w:rsidRDefault="007168ED" w:rsidP="007168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4.074,80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72BB7C15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77,36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14:paraId="1D941E21" w14:textId="77777777" w:rsidR="007168ED" w:rsidRPr="007168ED" w:rsidRDefault="007168ED" w:rsidP="007168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168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90,55</w:t>
            </w:r>
          </w:p>
        </w:tc>
      </w:tr>
    </w:tbl>
    <w:p w14:paraId="50EA9DF9" w14:textId="0CE07575" w:rsidR="000B3A72" w:rsidRPr="004B6DAF" w:rsidRDefault="000B3A72" w:rsidP="005001CB">
      <w:pPr>
        <w:spacing w:after="120" w:line="240" w:lineRule="auto"/>
        <w:rPr>
          <w:rFonts w:cstheme="minorHAnsi"/>
          <w:sz w:val="18"/>
          <w:szCs w:val="18"/>
        </w:rPr>
      </w:pPr>
      <w:r w:rsidRPr="00CD5B87">
        <w:rPr>
          <w:rFonts w:cstheme="minorHAnsi"/>
          <w:vertAlign w:val="superscript"/>
        </w:rPr>
        <w:t>1</w:t>
      </w:r>
      <w:r w:rsidRPr="004B6DAF">
        <w:rPr>
          <w:rFonts w:cstheme="minorHAnsi"/>
          <w:sz w:val="18"/>
          <w:szCs w:val="18"/>
        </w:rPr>
        <w:t>MMPI – Ministarstvo mora, prometa i infrastrukture</w:t>
      </w:r>
    </w:p>
    <w:p w14:paraId="4E168585" w14:textId="1649ABBD" w:rsidR="000B3A72" w:rsidRPr="00D6489E" w:rsidRDefault="000B3A72" w:rsidP="00124E9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D6489E">
        <w:rPr>
          <w:rFonts w:cstheme="minorHAnsi"/>
        </w:rPr>
        <w:t>Prihodi od godišnje naknade za uporabu javnih cesta u 202</w:t>
      </w:r>
      <w:r w:rsidR="000C74F0">
        <w:rPr>
          <w:rFonts w:cstheme="minorHAnsi"/>
        </w:rPr>
        <w:t>5</w:t>
      </w:r>
      <w:r w:rsidR="00A542DF" w:rsidRPr="00D6489E">
        <w:rPr>
          <w:rFonts w:cstheme="minorHAnsi"/>
        </w:rPr>
        <w:t>. godini</w:t>
      </w:r>
      <w:r w:rsidRPr="00D6489E">
        <w:rPr>
          <w:rFonts w:cstheme="minorHAnsi"/>
        </w:rPr>
        <w:t xml:space="preserve"> ostvareni su putem stanica za tehnički pregled </w:t>
      </w:r>
      <w:r w:rsidR="0094069C" w:rsidRPr="00D6489E">
        <w:rPr>
          <w:rFonts w:cstheme="minorHAnsi"/>
        </w:rPr>
        <w:t xml:space="preserve">vozila </w:t>
      </w:r>
      <w:r w:rsidRPr="00D6489E">
        <w:rPr>
          <w:rFonts w:cstheme="minorHAnsi"/>
        </w:rPr>
        <w:t>i izravnim uplatama na izdvojeni žiro račun Županijske uprave za ceste Primorsko-goranske županije</w:t>
      </w:r>
      <w:r w:rsidR="00C72E2C" w:rsidRPr="00D6489E">
        <w:rPr>
          <w:rFonts w:cstheme="minorHAnsi"/>
        </w:rPr>
        <w:t xml:space="preserve"> </w:t>
      </w:r>
      <w:r w:rsidR="009F399C" w:rsidRPr="00D6489E">
        <w:rPr>
          <w:rFonts w:cstheme="minorHAnsi"/>
        </w:rPr>
        <w:t xml:space="preserve">u iznosu od </w:t>
      </w:r>
      <w:r w:rsidR="009C03D2">
        <w:rPr>
          <w:rFonts w:cstheme="minorHAnsi"/>
        </w:rPr>
        <w:t>12.</w:t>
      </w:r>
      <w:r w:rsidR="00DA3E7B">
        <w:rPr>
          <w:rFonts w:cstheme="minorHAnsi"/>
        </w:rPr>
        <w:t>992.048,16</w:t>
      </w:r>
      <w:r w:rsidR="00A542DF" w:rsidRPr="00D6489E">
        <w:rPr>
          <w:rFonts w:cstheme="minorHAnsi"/>
        </w:rPr>
        <w:t xml:space="preserve"> eur</w:t>
      </w:r>
      <w:r w:rsidR="00D6489E" w:rsidRPr="00D6489E">
        <w:rPr>
          <w:rFonts w:cstheme="minorHAnsi"/>
        </w:rPr>
        <w:t>a</w:t>
      </w:r>
      <w:r w:rsidR="009F399C" w:rsidRPr="00D6489E">
        <w:rPr>
          <w:rFonts w:cstheme="minorHAnsi"/>
        </w:rPr>
        <w:t>,</w:t>
      </w:r>
      <w:r w:rsidRPr="00D6489E">
        <w:rPr>
          <w:rFonts w:cstheme="minorHAnsi"/>
        </w:rPr>
        <w:t xml:space="preserve"> te </w:t>
      </w:r>
      <w:r w:rsidR="00C72E2C" w:rsidRPr="00D6489E">
        <w:rPr>
          <w:rFonts w:cstheme="minorHAnsi"/>
        </w:rPr>
        <w:t xml:space="preserve">od Ministarstva mora, prometa i </w:t>
      </w:r>
      <w:r w:rsidR="00BA1CBC" w:rsidRPr="00D6489E">
        <w:rPr>
          <w:rFonts w:cstheme="minorHAnsi"/>
        </w:rPr>
        <w:t>in</w:t>
      </w:r>
      <w:r w:rsidR="009F399C" w:rsidRPr="00D6489E">
        <w:rPr>
          <w:rFonts w:cstheme="minorHAnsi"/>
        </w:rPr>
        <w:t xml:space="preserve">frastrukture u iznosu </w:t>
      </w:r>
      <w:r w:rsidR="003D3C93" w:rsidRPr="00D6489E">
        <w:rPr>
          <w:rFonts w:cstheme="minorHAnsi"/>
        </w:rPr>
        <w:t xml:space="preserve">od </w:t>
      </w:r>
      <w:r w:rsidR="000C74F0">
        <w:rPr>
          <w:rFonts w:cstheme="minorHAnsi"/>
        </w:rPr>
        <w:t xml:space="preserve">118.783,92 </w:t>
      </w:r>
      <w:r w:rsidR="00C95502" w:rsidRPr="00D6489E">
        <w:rPr>
          <w:rFonts w:cstheme="minorHAnsi"/>
        </w:rPr>
        <w:t>eur</w:t>
      </w:r>
      <w:r w:rsidR="00D6489E" w:rsidRPr="00D6489E">
        <w:rPr>
          <w:rFonts w:cstheme="minorHAnsi"/>
        </w:rPr>
        <w:t>a</w:t>
      </w:r>
      <w:r w:rsidR="00C72E2C" w:rsidRPr="00D6489E">
        <w:rPr>
          <w:rFonts w:cstheme="minorHAnsi"/>
        </w:rPr>
        <w:t>.</w:t>
      </w:r>
    </w:p>
    <w:p w14:paraId="7DF56BED" w14:textId="7E0A5C1E" w:rsidR="000B3A72" w:rsidRDefault="000B3A72" w:rsidP="00124E9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B84CCF">
        <w:rPr>
          <w:rFonts w:cstheme="minorHAnsi"/>
        </w:rPr>
        <w:t xml:space="preserve">Ostvarenu godišnju naknadu za uporabu javnih cesta od Ministarstva mora, prometa i infrastrukture čine prihodi od nadoknađenih sredstava godišnje naknade </w:t>
      </w:r>
      <w:r w:rsidR="00CD3BC2" w:rsidRPr="00190A23">
        <w:rPr>
          <w:rFonts w:eastAsia="Times New Roman" w:cstheme="minorHAnsi"/>
          <w:lang w:eastAsia="hr-HR"/>
        </w:rPr>
        <w:t xml:space="preserve">za </w:t>
      </w:r>
      <w:r w:rsidR="00CD3BC2">
        <w:rPr>
          <w:rFonts w:eastAsia="Times New Roman" w:cstheme="minorHAnsi"/>
          <w:lang w:eastAsia="hr-HR"/>
        </w:rPr>
        <w:t>uporabu</w:t>
      </w:r>
      <w:r w:rsidR="00CD3BC2" w:rsidRPr="00190A23">
        <w:rPr>
          <w:rFonts w:eastAsia="Times New Roman" w:cstheme="minorHAnsi"/>
          <w:lang w:eastAsia="hr-HR"/>
        </w:rPr>
        <w:t xml:space="preserve"> javnih cesta</w:t>
      </w:r>
      <w:r w:rsidR="00CD3BC2">
        <w:rPr>
          <w:rFonts w:eastAsia="Times New Roman" w:cstheme="minorHAnsi"/>
          <w:lang w:eastAsia="hr-HR"/>
        </w:rPr>
        <w:t xml:space="preserve"> koja se plaća pri registraciji motornih i priključnih vozila</w:t>
      </w:r>
      <w:r w:rsidR="00CD3BC2" w:rsidRPr="00190A23">
        <w:rPr>
          <w:rFonts w:eastAsia="Times New Roman" w:cstheme="minorHAnsi"/>
          <w:lang w:eastAsia="hr-HR"/>
        </w:rPr>
        <w:t xml:space="preserve"> </w:t>
      </w:r>
      <w:r w:rsidRPr="00B84CCF">
        <w:rPr>
          <w:rFonts w:cstheme="minorHAnsi"/>
        </w:rPr>
        <w:t>temel</w:t>
      </w:r>
      <w:r w:rsidR="00DF4A07">
        <w:rPr>
          <w:rFonts w:cstheme="minorHAnsi"/>
        </w:rPr>
        <w:t>jem odredbi Zakona o cestama</w:t>
      </w:r>
      <w:r w:rsidR="00B84CCF" w:rsidRPr="00B84CCF">
        <w:rPr>
          <w:rFonts w:cstheme="minorHAnsi"/>
        </w:rPr>
        <w:t xml:space="preserve"> („Narodne novine“, broj 84/11, 18/13, 22/13, 54/13, 148/13, 92/14, 110/19,144/21 i 114/22, 04/23, 133/23, 156/25)</w:t>
      </w:r>
      <w:r w:rsidR="00DF4A07">
        <w:rPr>
          <w:rFonts w:cstheme="minorHAnsi"/>
        </w:rPr>
        <w:t xml:space="preserve"> </w:t>
      </w:r>
      <w:r w:rsidR="00855784">
        <w:rPr>
          <w:rFonts w:cstheme="minorHAnsi"/>
        </w:rPr>
        <w:t xml:space="preserve">i </w:t>
      </w:r>
      <w:r w:rsidR="00CD3BC2">
        <w:rPr>
          <w:rFonts w:eastAsia="Times New Roman" w:cstheme="minorHAnsi"/>
          <w:lang w:eastAsia="hr-HR"/>
        </w:rPr>
        <w:t xml:space="preserve">Zakona o povlasticama u prometu („Narodne novine“, broj 133/23) </w:t>
      </w:r>
      <w:r w:rsidRPr="00B84CCF">
        <w:rPr>
          <w:rFonts w:cstheme="minorHAnsi"/>
        </w:rPr>
        <w:t>prema kojima osobe s invaliditetom ne plaćaju naknadu pri registraciji vozila, a županijske uprave za ceste ostvaruju p</w:t>
      </w:r>
      <w:r w:rsidR="00855784">
        <w:rPr>
          <w:rFonts w:cstheme="minorHAnsi"/>
        </w:rPr>
        <w:t>ravo na nadoknadu iz sredstava d</w:t>
      </w:r>
      <w:r w:rsidRPr="00B84CCF">
        <w:rPr>
          <w:rFonts w:cstheme="minorHAnsi"/>
        </w:rPr>
        <w:t>ržavnog proračuna.</w:t>
      </w:r>
    </w:p>
    <w:p w14:paraId="178DAEEA" w14:textId="4B8B73DC" w:rsidR="000B3A72" w:rsidRPr="008C282D" w:rsidRDefault="000B3A72" w:rsidP="00124E9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8C282D">
        <w:rPr>
          <w:rFonts w:cstheme="minorHAnsi"/>
        </w:rPr>
        <w:t>Županijska uprava za ceste Primorsko-goranske županije je u 202</w:t>
      </w:r>
      <w:r w:rsidR="000C74F0" w:rsidRPr="008C282D">
        <w:rPr>
          <w:rFonts w:cstheme="minorHAnsi"/>
        </w:rPr>
        <w:t>5</w:t>
      </w:r>
      <w:r w:rsidR="00A542DF" w:rsidRPr="008C282D">
        <w:rPr>
          <w:rFonts w:cstheme="minorHAnsi"/>
        </w:rPr>
        <w:t>. godini</w:t>
      </w:r>
      <w:r w:rsidRPr="008C282D">
        <w:rPr>
          <w:rFonts w:cstheme="minorHAnsi"/>
        </w:rPr>
        <w:t xml:space="preserve"> izvršila povrat godišnje naknade za uporabu javnih cesta vlasnicima odjav</w:t>
      </w:r>
      <w:r w:rsidR="00AA3832" w:rsidRPr="008C282D">
        <w:rPr>
          <w:rFonts w:cstheme="minorHAnsi"/>
        </w:rPr>
        <w:t>ljenih vozila u iznosu</w:t>
      </w:r>
      <w:r w:rsidR="003D3C93" w:rsidRPr="008C282D">
        <w:rPr>
          <w:rFonts w:cstheme="minorHAnsi"/>
        </w:rPr>
        <w:t xml:space="preserve"> od</w:t>
      </w:r>
      <w:r w:rsidR="00AA3832" w:rsidRPr="008C282D">
        <w:rPr>
          <w:rFonts w:cstheme="minorHAnsi"/>
        </w:rPr>
        <w:t xml:space="preserve"> </w:t>
      </w:r>
      <w:r w:rsidR="00DA3E7B">
        <w:rPr>
          <w:rFonts w:cstheme="minorHAnsi"/>
        </w:rPr>
        <w:t>30.541,62</w:t>
      </w:r>
      <w:r w:rsidR="00A542DF" w:rsidRPr="008C282D">
        <w:rPr>
          <w:rFonts w:cstheme="minorHAnsi"/>
        </w:rPr>
        <w:t xml:space="preserve"> eur</w:t>
      </w:r>
      <w:r w:rsidR="00D6489E" w:rsidRPr="008C282D">
        <w:rPr>
          <w:rFonts w:cstheme="minorHAnsi"/>
        </w:rPr>
        <w:t>a</w:t>
      </w:r>
      <w:r w:rsidRPr="008C282D">
        <w:rPr>
          <w:rFonts w:cstheme="minorHAnsi"/>
        </w:rPr>
        <w:t xml:space="preserve"> (za razdoblje u kojem je, računajući od dana odjave vozila, prestala uporaba javnih cesta) tako da su prihodi knjigovodstveno umanjeni za </w:t>
      </w:r>
      <w:r w:rsidR="00FB4B53" w:rsidRPr="008C282D">
        <w:rPr>
          <w:rFonts w:cstheme="minorHAnsi"/>
        </w:rPr>
        <w:t>povrat navedenih sredstava.</w:t>
      </w:r>
    </w:p>
    <w:p w14:paraId="7FA671CA" w14:textId="63D497AB" w:rsidR="000B3A72" w:rsidRPr="00B84CCF" w:rsidRDefault="000B3A72" w:rsidP="00124E9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B84CCF">
        <w:rPr>
          <w:rFonts w:cstheme="minorHAnsi"/>
        </w:rPr>
        <w:t>Slijedom navedenog,</w:t>
      </w:r>
      <w:r w:rsidR="00714CD2" w:rsidRPr="00B84CCF">
        <w:rPr>
          <w:rFonts w:cstheme="minorHAnsi"/>
        </w:rPr>
        <w:t xml:space="preserve"> </w:t>
      </w:r>
      <w:r w:rsidRPr="00B84CCF">
        <w:rPr>
          <w:rFonts w:cstheme="minorHAnsi"/>
        </w:rPr>
        <w:t>ukupno ostvareni prihodi od godišnje naknade za uporabu j</w:t>
      </w:r>
      <w:r w:rsidR="00BA1CBC" w:rsidRPr="00B84CCF">
        <w:rPr>
          <w:rFonts w:cstheme="minorHAnsi"/>
        </w:rPr>
        <w:t>avn</w:t>
      </w:r>
      <w:r w:rsidR="00F45629" w:rsidRPr="00B84CCF">
        <w:rPr>
          <w:rFonts w:cstheme="minorHAnsi"/>
        </w:rPr>
        <w:t xml:space="preserve">ih cesta iznose </w:t>
      </w:r>
      <w:r w:rsidR="00B84CCF" w:rsidRPr="00B84CCF">
        <w:rPr>
          <w:rFonts w:cstheme="minorHAnsi"/>
        </w:rPr>
        <w:lastRenderedPageBreak/>
        <w:t>13.080.290,46</w:t>
      </w:r>
      <w:r w:rsidR="00C95502" w:rsidRPr="00B84CCF">
        <w:rPr>
          <w:rFonts w:cstheme="minorHAnsi"/>
        </w:rPr>
        <w:t xml:space="preserve"> eur</w:t>
      </w:r>
      <w:r w:rsidR="00D6489E" w:rsidRPr="00B84CCF">
        <w:rPr>
          <w:rFonts w:cstheme="minorHAnsi"/>
        </w:rPr>
        <w:t>a</w:t>
      </w:r>
      <w:r w:rsidR="00BA1CBC" w:rsidRPr="00B84CCF">
        <w:rPr>
          <w:rFonts w:cstheme="minorHAnsi"/>
        </w:rPr>
        <w:t xml:space="preserve"> ili </w:t>
      </w:r>
      <w:r w:rsidR="00B84CCF" w:rsidRPr="00B84CCF">
        <w:rPr>
          <w:rFonts w:cstheme="minorHAnsi"/>
        </w:rPr>
        <w:t>102,10</w:t>
      </w:r>
      <w:r w:rsidRPr="00B84CCF">
        <w:rPr>
          <w:rFonts w:cstheme="minorHAnsi"/>
        </w:rPr>
        <w:t xml:space="preserve">% </w:t>
      </w:r>
      <w:r w:rsidR="0057763E" w:rsidRPr="00B84CCF">
        <w:rPr>
          <w:rFonts w:cstheme="minorHAnsi"/>
        </w:rPr>
        <w:t>godišnjeg plana. U usporedbi s istim razdobljem prethodne godine</w:t>
      </w:r>
      <w:r w:rsidRPr="00B84CCF">
        <w:rPr>
          <w:rFonts w:cstheme="minorHAnsi"/>
        </w:rPr>
        <w:t xml:space="preserve"> ostvareni prihodi od </w:t>
      </w:r>
      <w:r w:rsidR="00AA3182" w:rsidRPr="00B84CCF">
        <w:rPr>
          <w:rFonts w:cstheme="minorHAnsi"/>
        </w:rPr>
        <w:t xml:space="preserve">godišnje naknade veći su za </w:t>
      </w:r>
      <w:r w:rsidR="00B84CCF" w:rsidRPr="00B84CCF">
        <w:rPr>
          <w:rFonts w:cstheme="minorHAnsi"/>
        </w:rPr>
        <w:t>424.340,58</w:t>
      </w:r>
      <w:r w:rsidR="00C95502" w:rsidRPr="00B84CCF">
        <w:rPr>
          <w:rFonts w:cstheme="minorHAnsi"/>
        </w:rPr>
        <w:t xml:space="preserve"> eur</w:t>
      </w:r>
      <w:r w:rsidR="00EE34A8" w:rsidRPr="00B84CCF">
        <w:rPr>
          <w:rFonts w:cstheme="minorHAnsi"/>
        </w:rPr>
        <w:t>a</w:t>
      </w:r>
      <w:r w:rsidR="00D64FCE" w:rsidRPr="00B84CCF">
        <w:rPr>
          <w:rFonts w:cstheme="minorHAnsi"/>
        </w:rPr>
        <w:t xml:space="preserve"> ili </w:t>
      </w:r>
      <w:r w:rsidR="00B84CCF" w:rsidRPr="00B84CCF">
        <w:rPr>
          <w:rFonts w:cstheme="minorHAnsi"/>
        </w:rPr>
        <w:t>3,35</w:t>
      </w:r>
      <w:r w:rsidR="00FB4B53" w:rsidRPr="00B84CCF">
        <w:rPr>
          <w:rFonts w:cstheme="minorHAnsi"/>
        </w:rPr>
        <w:t>%</w:t>
      </w:r>
      <w:r w:rsidR="005C26D3" w:rsidRPr="00B84CCF">
        <w:rPr>
          <w:rFonts w:cstheme="minorHAnsi"/>
        </w:rPr>
        <w:t xml:space="preserve">, </w:t>
      </w:r>
      <w:r w:rsidR="0057763E" w:rsidRPr="00B84CCF">
        <w:rPr>
          <w:rFonts w:cstheme="minorHAnsi"/>
        </w:rPr>
        <w:t>što je rezultat povećanja broja registriranih vozila čiji vlasnici imaju prebivalište ili sjedište na području Primorsko-goranske županije.</w:t>
      </w:r>
    </w:p>
    <w:p w14:paraId="30FEE95C" w14:textId="1413ED34" w:rsidR="00A31479" w:rsidRDefault="00A31479" w:rsidP="00A31479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B25865">
        <w:rPr>
          <w:rFonts w:cstheme="minorHAnsi"/>
        </w:rPr>
        <w:t>Prihodi od naknade za korištenje cestovn</w:t>
      </w:r>
      <w:r>
        <w:rPr>
          <w:rFonts w:cstheme="minorHAnsi"/>
        </w:rPr>
        <w:t xml:space="preserve">og zemljišta ostvareni su u iznosu od </w:t>
      </w:r>
      <w:r w:rsidR="000C74F0">
        <w:rPr>
          <w:rFonts w:cstheme="minorHAnsi"/>
        </w:rPr>
        <w:t>486.505,63</w:t>
      </w:r>
      <w:r w:rsidRPr="00B25865">
        <w:rPr>
          <w:rFonts w:cstheme="minorHAnsi"/>
        </w:rPr>
        <w:t xml:space="preserve"> </w:t>
      </w:r>
      <w:r>
        <w:rPr>
          <w:rFonts w:cstheme="minorHAnsi"/>
        </w:rPr>
        <w:t>eur</w:t>
      </w:r>
      <w:r w:rsidR="00A85A3B">
        <w:rPr>
          <w:rFonts w:cstheme="minorHAnsi"/>
        </w:rPr>
        <w:t>a</w:t>
      </w:r>
      <w:r>
        <w:rPr>
          <w:rFonts w:cstheme="minorHAnsi"/>
        </w:rPr>
        <w:t xml:space="preserve"> ili </w:t>
      </w:r>
      <w:r w:rsidR="000C74F0">
        <w:rPr>
          <w:rFonts w:cstheme="minorHAnsi"/>
        </w:rPr>
        <w:t>128,03</w:t>
      </w:r>
      <w:r>
        <w:rPr>
          <w:rFonts w:cstheme="minorHAnsi"/>
        </w:rPr>
        <w:t xml:space="preserve">% godišnjeg plana. </w:t>
      </w:r>
      <w:r w:rsidR="004F0285">
        <w:rPr>
          <w:rFonts w:cstheme="minorHAnsi"/>
        </w:rPr>
        <w:t xml:space="preserve">U odnosu na prethodnu godinu </w:t>
      </w:r>
      <w:r w:rsidR="000C74F0">
        <w:rPr>
          <w:rFonts w:cstheme="minorHAnsi"/>
        </w:rPr>
        <w:t>veći</w:t>
      </w:r>
      <w:r w:rsidR="004F0285">
        <w:rPr>
          <w:rFonts w:cstheme="minorHAnsi"/>
        </w:rPr>
        <w:t xml:space="preserve"> su</w:t>
      </w:r>
      <w:r>
        <w:rPr>
          <w:rFonts w:cstheme="minorHAnsi"/>
        </w:rPr>
        <w:t xml:space="preserve"> za </w:t>
      </w:r>
      <w:r w:rsidR="000C74F0">
        <w:rPr>
          <w:rFonts w:cstheme="minorHAnsi"/>
        </w:rPr>
        <w:t>134.204,53</w:t>
      </w:r>
      <w:r w:rsidR="009B480D">
        <w:rPr>
          <w:rFonts w:cstheme="minorHAnsi"/>
        </w:rPr>
        <w:t xml:space="preserve"> eur</w:t>
      </w:r>
      <w:r w:rsidR="00A85A3B">
        <w:rPr>
          <w:rFonts w:cstheme="minorHAnsi"/>
        </w:rPr>
        <w:t>a</w:t>
      </w:r>
      <w:r w:rsidR="004F0285">
        <w:rPr>
          <w:rFonts w:cstheme="minorHAnsi"/>
        </w:rPr>
        <w:t xml:space="preserve"> ili </w:t>
      </w:r>
      <w:r w:rsidR="000C74F0">
        <w:rPr>
          <w:rFonts w:cstheme="minorHAnsi"/>
        </w:rPr>
        <w:t>38,09</w:t>
      </w:r>
      <w:r>
        <w:rPr>
          <w:rFonts w:cstheme="minorHAnsi"/>
        </w:rPr>
        <w:t xml:space="preserve">%, </w:t>
      </w:r>
      <w:r w:rsidRPr="00B25865">
        <w:rPr>
          <w:rFonts w:cstheme="minorHAnsi"/>
        </w:rPr>
        <w:t xml:space="preserve">a </w:t>
      </w:r>
      <w:r>
        <w:rPr>
          <w:rFonts w:cstheme="minorHAnsi"/>
        </w:rPr>
        <w:t xml:space="preserve">obuhvaćaju prihode </w:t>
      </w:r>
      <w:r w:rsidRPr="00B25865">
        <w:rPr>
          <w:rFonts w:cstheme="minorHAnsi"/>
        </w:rPr>
        <w:t>ost</w:t>
      </w:r>
      <w:r>
        <w:rPr>
          <w:rFonts w:cstheme="minorHAnsi"/>
        </w:rPr>
        <w:t>varene od „Hrvatskog telekoma“ d.d</w:t>
      </w:r>
      <w:r w:rsidR="005001CB">
        <w:rPr>
          <w:rFonts w:cstheme="minorHAnsi"/>
        </w:rPr>
        <w:t>.</w:t>
      </w:r>
      <w:r>
        <w:rPr>
          <w:rFonts w:cstheme="minorHAnsi"/>
        </w:rPr>
        <w:t xml:space="preserve"> na temelju Rješenja Hrvatske regulatorne agencije za mrežne djelatnosti od 22. veljače 2022. godine za korištenje</w:t>
      </w:r>
      <w:r w:rsidRPr="00B25865">
        <w:rPr>
          <w:rFonts w:cstheme="minorHAnsi"/>
        </w:rPr>
        <w:t xml:space="preserve"> cestovnog zemljišta za polaganje TK instalacija</w:t>
      </w:r>
      <w:r>
        <w:rPr>
          <w:rFonts w:cstheme="minorHAnsi"/>
        </w:rPr>
        <w:t>, zatim</w:t>
      </w:r>
      <w:r w:rsidRPr="00B25865">
        <w:rPr>
          <w:rFonts w:cstheme="minorHAnsi"/>
        </w:rPr>
        <w:t xml:space="preserve"> ugovora o postavljanju reklamnih ploča na županijskim i lokalnim cestama sklopljenim s t</w:t>
      </w:r>
      <w:r w:rsidRPr="00002B37">
        <w:rPr>
          <w:rFonts w:cstheme="minorHAnsi"/>
        </w:rPr>
        <w:t xml:space="preserve">rgovačkim društvima, </w:t>
      </w:r>
      <w:r w:rsidRPr="00E5601E">
        <w:rPr>
          <w:rFonts w:cstheme="minorHAnsi"/>
        </w:rPr>
        <w:t>te ugovora za korištenje parkirališnih mj</w:t>
      </w:r>
      <w:r w:rsidR="004F0285">
        <w:rPr>
          <w:rFonts w:cstheme="minorHAnsi"/>
        </w:rPr>
        <w:t>esta na županijskoj cesti ŽC</w:t>
      </w:r>
      <w:r w:rsidR="006F05AD">
        <w:rPr>
          <w:rFonts w:cstheme="minorHAnsi"/>
        </w:rPr>
        <w:t>5051 (od državne ceste DC</w:t>
      </w:r>
      <w:r w:rsidRPr="00E5601E">
        <w:rPr>
          <w:rFonts w:cstheme="minorHAnsi"/>
        </w:rPr>
        <w:t>66 do administrativne gran</w:t>
      </w:r>
      <w:r w:rsidR="00BE6840" w:rsidRPr="00E5601E">
        <w:rPr>
          <w:rFonts w:cstheme="minorHAnsi"/>
        </w:rPr>
        <w:t>ice</w:t>
      </w:r>
      <w:r w:rsidR="00DA3E7B">
        <w:rPr>
          <w:rFonts w:cstheme="minorHAnsi"/>
        </w:rPr>
        <w:t xml:space="preserve"> Grada Rijeke kroz Opatiju).</w:t>
      </w:r>
    </w:p>
    <w:p w14:paraId="4928CB4C" w14:textId="4CE99443" w:rsidR="00A85A3B" w:rsidRPr="004F0285" w:rsidRDefault="00A85A3B" w:rsidP="004F0285">
      <w:pPr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>
        <w:rPr>
          <w:rFonts w:cstheme="minorHAnsi"/>
        </w:rPr>
        <w:t>Prihodi od naknade za korištenje cestovnog zemljišta</w:t>
      </w:r>
      <w:r w:rsidR="006F05AD">
        <w:rPr>
          <w:rFonts w:cstheme="minorHAnsi"/>
        </w:rPr>
        <w:t xml:space="preserve"> </w:t>
      </w:r>
      <w:r>
        <w:rPr>
          <w:rFonts w:cstheme="minorHAnsi"/>
        </w:rPr>
        <w:t>-</w:t>
      </w:r>
      <w:r w:rsidR="006F05AD">
        <w:rPr>
          <w:rFonts w:cstheme="minorHAnsi"/>
        </w:rPr>
        <w:t xml:space="preserve"> </w:t>
      </w:r>
      <w:r>
        <w:rPr>
          <w:rFonts w:cstheme="minorHAnsi"/>
        </w:rPr>
        <w:t xml:space="preserve">pravo služnosti ostvareni su u iznosu </w:t>
      </w:r>
      <w:r w:rsidR="00FB63CD">
        <w:rPr>
          <w:rFonts w:cstheme="minorHAnsi"/>
        </w:rPr>
        <w:t xml:space="preserve">od </w:t>
      </w:r>
      <w:r w:rsidR="00E840A3">
        <w:rPr>
          <w:rFonts w:cstheme="minorHAnsi"/>
        </w:rPr>
        <w:t>12.756,16</w:t>
      </w:r>
      <w:r>
        <w:rPr>
          <w:rFonts w:cstheme="minorHAnsi"/>
        </w:rPr>
        <w:t xml:space="preserve"> eura ili </w:t>
      </w:r>
      <w:r w:rsidR="00E840A3">
        <w:rPr>
          <w:rFonts w:cstheme="minorHAnsi"/>
        </w:rPr>
        <w:t>141,74% godišnjeg plana i bilježe povećanje od 55,5</w:t>
      </w:r>
      <w:r w:rsidR="004F0285">
        <w:rPr>
          <w:rFonts w:cstheme="minorHAnsi"/>
        </w:rPr>
        <w:t>0</w:t>
      </w:r>
      <w:r w:rsidR="00E840A3">
        <w:rPr>
          <w:rFonts w:cstheme="minorHAnsi"/>
        </w:rPr>
        <w:t xml:space="preserve">% </w:t>
      </w:r>
      <w:r w:rsidR="004F0285" w:rsidRPr="00D502D6">
        <w:rPr>
          <w:rFonts w:eastAsiaTheme="minorEastAsia" w:cstheme="minorHAnsi"/>
          <w:lang w:eastAsia="hr-HR"/>
        </w:rPr>
        <w:t>u usporedbi s prethodnom godinom</w:t>
      </w:r>
      <w:r w:rsidR="00E840A3">
        <w:rPr>
          <w:rFonts w:cstheme="minorHAnsi"/>
        </w:rPr>
        <w:t>.</w:t>
      </w:r>
      <w:r>
        <w:rPr>
          <w:rFonts w:cstheme="minorHAnsi"/>
        </w:rPr>
        <w:t xml:space="preserve"> Navedeni prihod</w:t>
      </w:r>
      <w:r w:rsidR="004F0285">
        <w:rPr>
          <w:rFonts w:cstheme="minorHAnsi"/>
        </w:rPr>
        <w:t>i ostvaruju</w:t>
      </w:r>
      <w:r>
        <w:rPr>
          <w:rFonts w:cstheme="minorHAnsi"/>
        </w:rPr>
        <w:t xml:space="preserve"> se temeljem zaključenih ugovora o korištenju cestovnog zemljišta – prava služnosti te se naknada naplaćuje jednom godišnje po pojedinom ugovoru.</w:t>
      </w:r>
    </w:p>
    <w:p w14:paraId="6B4538F2" w14:textId="7BC08DF8" w:rsidR="009E31BA" w:rsidRPr="000824CA" w:rsidRDefault="009B480D" w:rsidP="004F0285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0" w:line="257" w:lineRule="auto"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</w:rPr>
        <w:t xml:space="preserve">Prihodi od naknade za izvanredni prijevoz ostvareni su u iznosu od </w:t>
      </w:r>
      <w:r w:rsidR="00E840A3">
        <w:rPr>
          <w:rFonts w:cstheme="minorHAnsi"/>
        </w:rPr>
        <w:t>4.074,80</w:t>
      </w:r>
      <w:r>
        <w:rPr>
          <w:rFonts w:cstheme="minorHAnsi"/>
        </w:rPr>
        <w:t xml:space="preserve"> eur</w:t>
      </w:r>
      <w:r w:rsidR="00A85A3B">
        <w:rPr>
          <w:rFonts w:cstheme="minorHAnsi"/>
        </w:rPr>
        <w:t>a</w:t>
      </w:r>
      <w:r>
        <w:rPr>
          <w:rFonts w:cstheme="minorHAnsi"/>
        </w:rPr>
        <w:t xml:space="preserve"> ili </w:t>
      </w:r>
      <w:r w:rsidR="00E840A3">
        <w:rPr>
          <w:rFonts w:cstheme="minorHAnsi"/>
        </w:rPr>
        <w:t>90,5</w:t>
      </w:r>
      <w:r w:rsidR="001A3C6E">
        <w:rPr>
          <w:rFonts w:cstheme="minorHAnsi"/>
        </w:rPr>
        <w:t>5</w:t>
      </w:r>
      <w:r w:rsidR="004F0285">
        <w:rPr>
          <w:rFonts w:cstheme="minorHAnsi"/>
        </w:rPr>
        <w:t xml:space="preserve">% godišnjeg plana. </w:t>
      </w:r>
      <w:r w:rsidR="009E31BA" w:rsidRPr="000824CA">
        <w:rPr>
          <w:rFonts w:cstheme="minorHAnsi"/>
          <w:color w:val="000000"/>
          <w:shd w:val="clear" w:color="auto" w:fill="FFFFFF"/>
        </w:rPr>
        <w:t xml:space="preserve">Kako se izvanredni prijevoz obavlja na više javnih cesta razvrstanih kao autocesta, državna, županijska, odnosno lokalna cesta, dozvolu za izvanredni prijevoz izdaju Hrvatske ceste d.o.o. i sredstva uplaćuju </w:t>
      </w:r>
      <w:r w:rsidR="009F3E77">
        <w:rPr>
          <w:rFonts w:cstheme="minorHAnsi"/>
          <w:color w:val="000000"/>
          <w:shd w:val="clear" w:color="auto" w:fill="FFFFFF"/>
        </w:rPr>
        <w:t xml:space="preserve">mjesečno temeljem izvješća o raspodjeli naknade </w:t>
      </w:r>
      <w:r w:rsidR="00CC5F6F" w:rsidRPr="000824CA">
        <w:rPr>
          <w:rFonts w:cstheme="minorHAnsi"/>
          <w:color w:val="000000"/>
          <w:shd w:val="clear" w:color="auto" w:fill="FFFFFF"/>
        </w:rPr>
        <w:t xml:space="preserve">za izvanredni prijevoz </w:t>
      </w:r>
      <w:r w:rsidR="009E31BA" w:rsidRPr="000824CA">
        <w:rPr>
          <w:rFonts w:cstheme="minorHAnsi"/>
          <w:color w:val="000000"/>
          <w:shd w:val="clear" w:color="auto" w:fill="FFFFFF"/>
        </w:rPr>
        <w:t>na račun županijsk</w:t>
      </w:r>
      <w:r w:rsidR="009F3E77">
        <w:rPr>
          <w:rFonts w:cstheme="minorHAnsi"/>
          <w:color w:val="000000"/>
          <w:shd w:val="clear" w:color="auto" w:fill="FFFFFF"/>
        </w:rPr>
        <w:t>e</w:t>
      </w:r>
      <w:r w:rsidR="009E31BA" w:rsidRPr="000824CA">
        <w:rPr>
          <w:rFonts w:cstheme="minorHAnsi"/>
          <w:color w:val="000000"/>
          <w:shd w:val="clear" w:color="auto" w:fill="FFFFFF"/>
        </w:rPr>
        <w:t xml:space="preserve"> uprav</w:t>
      </w:r>
      <w:r w:rsidR="009F3E77">
        <w:rPr>
          <w:rFonts w:cstheme="minorHAnsi"/>
          <w:color w:val="000000"/>
          <w:shd w:val="clear" w:color="auto" w:fill="FFFFFF"/>
        </w:rPr>
        <w:t>e</w:t>
      </w:r>
      <w:r w:rsidR="009E31BA" w:rsidRPr="000824CA">
        <w:rPr>
          <w:rFonts w:cstheme="minorHAnsi"/>
          <w:color w:val="000000"/>
          <w:shd w:val="clear" w:color="auto" w:fill="FFFFFF"/>
        </w:rPr>
        <w:t xml:space="preserve"> za ceste </w:t>
      </w:r>
      <w:r w:rsidR="00CC5F6F">
        <w:rPr>
          <w:rFonts w:cstheme="minorHAnsi"/>
          <w:color w:val="000000"/>
          <w:shd w:val="clear" w:color="auto" w:fill="FFFFFF"/>
        </w:rPr>
        <w:t>kao upravitelju javne ceste.</w:t>
      </w:r>
    </w:p>
    <w:p w14:paraId="7227686B" w14:textId="77777777" w:rsidR="000B3A72" w:rsidRPr="00CD5B87" w:rsidRDefault="000B3A72" w:rsidP="00124E90">
      <w:pPr>
        <w:spacing w:before="120" w:after="120" w:line="240" w:lineRule="auto"/>
        <w:jc w:val="both"/>
        <w:rPr>
          <w:rFonts w:cstheme="minorHAnsi"/>
          <w:b/>
        </w:rPr>
      </w:pPr>
      <w:r w:rsidRPr="00CD5B87">
        <w:rPr>
          <w:rFonts w:cstheme="minorHAnsi"/>
          <w:b/>
        </w:rPr>
        <w:t>Prihodi po posebnim propisima – ostali nespomenuti prihodi</w:t>
      </w:r>
    </w:p>
    <w:p w14:paraId="1417FE2C" w14:textId="73CB1B88" w:rsidR="000B3A72" w:rsidRPr="00CD5B87" w:rsidRDefault="000B3A72" w:rsidP="00124E90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Ostali nespomenuti prihod</w:t>
      </w:r>
      <w:r w:rsidR="00E25F9B">
        <w:rPr>
          <w:rFonts w:cstheme="minorHAnsi"/>
        </w:rPr>
        <w:t xml:space="preserve">i su ostvareni u iznosu </w:t>
      </w:r>
      <w:r w:rsidR="00FB4B53">
        <w:rPr>
          <w:rFonts w:cstheme="minorHAnsi"/>
        </w:rPr>
        <w:t xml:space="preserve">od </w:t>
      </w:r>
      <w:r w:rsidR="00E840A3">
        <w:rPr>
          <w:rFonts w:cstheme="minorHAnsi"/>
        </w:rPr>
        <w:t>30.998,37</w:t>
      </w:r>
      <w:r w:rsidR="00EB4963">
        <w:rPr>
          <w:rFonts w:cstheme="minorHAnsi"/>
        </w:rPr>
        <w:t xml:space="preserve"> eur</w:t>
      </w:r>
      <w:r w:rsidR="00A85A3B">
        <w:rPr>
          <w:rFonts w:cstheme="minorHAnsi"/>
        </w:rPr>
        <w:t>a</w:t>
      </w:r>
      <w:r w:rsidRPr="00CD5B87">
        <w:rPr>
          <w:rFonts w:cstheme="minorHAnsi"/>
        </w:rPr>
        <w:t>, a odnose se na prihode ostvarene s osnova refundacije š</w:t>
      </w:r>
      <w:r w:rsidR="00E25F9B">
        <w:rPr>
          <w:rFonts w:cstheme="minorHAnsi"/>
        </w:rPr>
        <w:t xml:space="preserve">tete od osiguravajućeg društva i ostale prihode. </w:t>
      </w:r>
      <w:r w:rsidR="001149FA">
        <w:rPr>
          <w:rFonts w:cstheme="minorHAnsi"/>
        </w:rPr>
        <w:t xml:space="preserve">Navedeni prihodi ostvareni su </w:t>
      </w:r>
      <w:r w:rsidR="00E840A3">
        <w:rPr>
          <w:rFonts w:cstheme="minorHAnsi"/>
        </w:rPr>
        <w:t>više</w:t>
      </w:r>
      <w:r w:rsidR="001149FA">
        <w:rPr>
          <w:rFonts w:cstheme="minorHAnsi"/>
        </w:rPr>
        <w:t xml:space="preserve"> u odnosu na godišnji plan za </w:t>
      </w:r>
      <w:r w:rsidR="00E840A3">
        <w:rPr>
          <w:rFonts w:cstheme="minorHAnsi"/>
        </w:rPr>
        <w:t>12.998,37</w:t>
      </w:r>
      <w:r w:rsidR="001149FA">
        <w:rPr>
          <w:rFonts w:cstheme="minorHAnsi"/>
        </w:rPr>
        <w:t xml:space="preserve"> eur</w:t>
      </w:r>
      <w:r w:rsidR="006F1D19">
        <w:rPr>
          <w:rFonts w:cstheme="minorHAnsi"/>
        </w:rPr>
        <w:t>a</w:t>
      </w:r>
      <w:r w:rsidR="001149FA">
        <w:rPr>
          <w:rFonts w:cstheme="minorHAnsi"/>
        </w:rPr>
        <w:t>.</w:t>
      </w:r>
      <w:r w:rsidR="00E840A3">
        <w:rPr>
          <w:rFonts w:cstheme="minorHAnsi"/>
        </w:rPr>
        <w:t xml:space="preserve"> </w:t>
      </w:r>
      <w:r w:rsidR="00E840A3" w:rsidRPr="00E840A3">
        <w:rPr>
          <w:rFonts w:cstheme="minorHAnsi"/>
        </w:rPr>
        <w:t>Povećanje navedenih p</w:t>
      </w:r>
      <w:r w:rsidR="00862808">
        <w:rPr>
          <w:rFonts w:cstheme="minorHAnsi"/>
        </w:rPr>
        <w:t>rihoda odnosi se na veći broj na</w:t>
      </w:r>
      <w:r w:rsidR="00E840A3" w:rsidRPr="00E840A3">
        <w:rPr>
          <w:rFonts w:cstheme="minorHAnsi"/>
        </w:rPr>
        <w:t>plaćenih odštetnih zahtjeva u odnosu na 2024. godinu.</w:t>
      </w:r>
    </w:p>
    <w:p w14:paraId="3A76B62B" w14:textId="5FCEFADE" w:rsidR="00121B78" w:rsidRDefault="00121B78" w:rsidP="00121B78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b/>
          <w:lang w:eastAsia="hr-HR"/>
        </w:rPr>
      </w:pPr>
      <w:r>
        <w:rPr>
          <w:rFonts w:eastAsiaTheme="minorEastAsia" w:cstheme="minorHAnsi"/>
          <w:b/>
          <w:lang w:eastAsia="hr-HR"/>
        </w:rPr>
        <w:t>Prihodi od donacija</w:t>
      </w:r>
    </w:p>
    <w:p w14:paraId="7CB7B7A6" w14:textId="42F43FDB" w:rsidR="00214C0E" w:rsidRDefault="00214C0E" w:rsidP="006F1D19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214C0E">
        <w:rPr>
          <w:rFonts w:eastAsiaTheme="minorEastAsia" w:cstheme="minorHAnsi"/>
          <w:lang w:eastAsia="hr-HR"/>
        </w:rPr>
        <w:t xml:space="preserve">Prihodi od donacija od pravnih osoba izvan općeg proračuna iznose </w:t>
      </w:r>
      <w:r>
        <w:rPr>
          <w:rFonts w:eastAsiaTheme="minorEastAsia" w:cstheme="minorHAnsi"/>
          <w:lang w:eastAsia="hr-HR"/>
        </w:rPr>
        <w:t>960.230,61</w:t>
      </w:r>
      <w:r w:rsidRPr="00214C0E">
        <w:rPr>
          <w:rFonts w:eastAsiaTheme="minorEastAsia" w:cstheme="minorHAnsi"/>
          <w:lang w:eastAsia="hr-HR"/>
        </w:rPr>
        <w:t xml:space="preserve"> eura ili </w:t>
      </w:r>
      <w:r>
        <w:rPr>
          <w:rFonts w:eastAsiaTheme="minorEastAsia" w:cstheme="minorHAnsi"/>
          <w:lang w:eastAsia="hr-HR"/>
        </w:rPr>
        <w:t>100</w:t>
      </w:r>
      <w:r w:rsidR="00507FEB">
        <w:rPr>
          <w:rFonts w:eastAsiaTheme="minorEastAsia" w:cstheme="minorHAnsi"/>
          <w:lang w:eastAsia="hr-HR"/>
        </w:rPr>
        <w:t>,00</w:t>
      </w:r>
      <w:r w:rsidRPr="00214C0E">
        <w:rPr>
          <w:rFonts w:eastAsiaTheme="minorEastAsia" w:cstheme="minorHAnsi"/>
          <w:lang w:eastAsia="hr-HR"/>
        </w:rPr>
        <w:t xml:space="preserve">% godišnjeg plana odnosno </w:t>
      </w:r>
      <w:r>
        <w:rPr>
          <w:rFonts w:eastAsiaTheme="minorEastAsia" w:cstheme="minorHAnsi"/>
          <w:lang w:eastAsia="hr-HR"/>
        </w:rPr>
        <w:t>531.241,85</w:t>
      </w:r>
      <w:r w:rsidRPr="00214C0E">
        <w:rPr>
          <w:rFonts w:eastAsiaTheme="minorEastAsia" w:cstheme="minorHAnsi"/>
          <w:lang w:eastAsia="hr-HR"/>
        </w:rPr>
        <w:t xml:space="preserve"> eura više u odnosu na isto razdoblje prethodne godine. Navedeno povećanje prihoda u odnosu na prethodnu godinu odnosi se na ostvareni prihod od donacije društva JANAF d.d. prema zaključenom Sporazumu o sufinanciranju sanacije kolnika te rješavanja oborinske odvodnje na ŽC506</w:t>
      </w:r>
      <w:r w:rsidR="00B6195E">
        <w:rPr>
          <w:rFonts w:eastAsiaTheme="minorEastAsia" w:cstheme="minorHAnsi"/>
          <w:lang w:eastAsia="hr-HR"/>
        </w:rPr>
        <w:t xml:space="preserve">8 dionica 3. od </w:t>
      </w:r>
      <w:proofErr w:type="spellStart"/>
      <w:r w:rsidR="00B6195E">
        <w:rPr>
          <w:rFonts w:eastAsiaTheme="minorEastAsia" w:cstheme="minorHAnsi"/>
          <w:lang w:eastAsia="hr-HR"/>
        </w:rPr>
        <w:t>stac</w:t>
      </w:r>
      <w:proofErr w:type="spellEnd"/>
      <w:r w:rsidR="00B6195E">
        <w:rPr>
          <w:rFonts w:eastAsiaTheme="minorEastAsia" w:cstheme="minorHAnsi"/>
          <w:lang w:eastAsia="hr-HR"/>
        </w:rPr>
        <w:t xml:space="preserve">. km 1+954 priključak JANAF </w:t>
      </w:r>
      <w:r w:rsidRPr="00214C0E">
        <w:rPr>
          <w:rFonts w:eastAsiaTheme="minorEastAsia" w:cstheme="minorHAnsi"/>
          <w:lang w:eastAsia="hr-HR"/>
        </w:rPr>
        <w:t xml:space="preserve">do </w:t>
      </w:r>
      <w:proofErr w:type="spellStart"/>
      <w:r w:rsidRPr="00214C0E">
        <w:rPr>
          <w:rFonts w:eastAsiaTheme="minorEastAsia" w:cstheme="minorHAnsi"/>
          <w:lang w:eastAsia="hr-HR"/>
        </w:rPr>
        <w:t>stac</w:t>
      </w:r>
      <w:proofErr w:type="spellEnd"/>
      <w:r w:rsidRPr="00214C0E">
        <w:rPr>
          <w:rFonts w:eastAsiaTheme="minorEastAsia" w:cstheme="minorHAnsi"/>
          <w:lang w:eastAsia="hr-HR"/>
        </w:rPr>
        <w:t>. km 4+643</w:t>
      </w:r>
      <w:r w:rsidR="00862808">
        <w:rPr>
          <w:rFonts w:eastAsiaTheme="minorEastAsia" w:cstheme="minorHAnsi"/>
          <w:lang w:eastAsia="hr-HR"/>
        </w:rPr>
        <w:t xml:space="preserve"> </w:t>
      </w:r>
      <w:r w:rsidRPr="00214C0E">
        <w:rPr>
          <w:rFonts w:eastAsiaTheme="minorEastAsia" w:cstheme="minorHAnsi"/>
          <w:lang w:eastAsia="hr-HR"/>
        </w:rPr>
        <w:t>-</w:t>
      </w:r>
      <w:r w:rsidR="00862808">
        <w:rPr>
          <w:rFonts w:eastAsiaTheme="minorEastAsia" w:cstheme="minorHAnsi"/>
          <w:lang w:eastAsia="hr-HR"/>
        </w:rPr>
        <w:t xml:space="preserve"> </w:t>
      </w:r>
      <w:r w:rsidRPr="00214C0E">
        <w:rPr>
          <w:rFonts w:eastAsiaTheme="minorEastAsia" w:cstheme="minorHAnsi"/>
          <w:lang w:eastAsia="hr-HR"/>
        </w:rPr>
        <w:t xml:space="preserve">bunker prije naselja </w:t>
      </w:r>
      <w:proofErr w:type="spellStart"/>
      <w:r w:rsidRPr="00214C0E">
        <w:rPr>
          <w:rFonts w:eastAsiaTheme="minorEastAsia" w:cstheme="minorHAnsi"/>
          <w:lang w:eastAsia="hr-HR"/>
        </w:rPr>
        <w:t>Križišće</w:t>
      </w:r>
      <w:proofErr w:type="spellEnd"/>
      <w:r w:rsidRPr="00214C0E">
        <w:rPr>
          <w:rFonts w:eastAsiaTheme="minorEastAsia" w:cstheme="minorHAnsi"/>
          <w:lang w:eastAsia="hr-HR"/>
        </w:rPr>
        <w:t>. Prihodi su ostvareni sukladno dinamici izvršenih radova. Radovi su u potpunosti izvršeni u prvom polugodištu 2025. godine</w:t>
      </w:r>
      <w:r>
        <w:rPr>
          <w:rFonts w:eastAsiaTheme="minorEastAsia" w:cstheme="minorHAnsi"/>
          <w:lang w:eastAsia="hr-HR"/>
        </w:rPr>
        <w:t>.</w:t>
      </w:r>
    </w:p>
    <w:p w14:paraId="50510E80" w14:textId="2F0D5045" w:rsidR="000B3A72" w:rsidRPr="00CD5B87" w:rsidRDefault="000B3A72" w:rsidP="006F1D19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</w:rPr>
      </w:pPr>
      <w:r w:rsidRPr="00CD5B87">
        <w:rPr>
          <w:rFonts w:cstheme="minorHAnsi"/>
          <w:b/>
        </w:rPr>
        <w:t>Ostali prihodi</w:t>
      </w:r>
    </w:p>
    <w:p w14:paraId="7066D03C" w14:textId="13256DAE" w:rsidR="001A3C6E" w:rsidRDefault="00214C0E" w:rsidP="006F1D19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</w:rPr>
      </w:pPr>
      <w:r w:rsidRPr="00214C0E">
        <w:rPr>
          <w:rFonts w:cstheme="minorHAnsi"/>
        </w:rPr>
        <w:t xml:space="preserve">Ostali prihodi ostvareni su u iznosu od </w:t>
      </w:r>
      <w:r>
        <w:rPr>
          <w:rFonts w:cstheme="minorHAnsi"/>
        </w:rPr>
        <w:t>6.850,43</w:t>
      </w:r>
      <w:r w:rsidRPr="00214C0E">
        <w:rPr>
          <w:rFonts w:cstheme="minorHAnsi"/>
        </w:rPr>
        <w:t xml:space="preserve"> eura ili </w:t>
      </w:r>
      <w:r w:rsidR="00507FEB">
        <w:rPr>
          <w:rFonts w:cstheme="minorHAnsi"/>
        </w:rPr>
        <w:t>105,39% godišnjeg plana</w:t>
      </w:r>
      <w:r w:rsidRPr="00214C0E">
        <w:rPr>
          <w:rFonts w:cstheme="minorHAnsi"/>
        </w:rPr>
        <w:t>. Odnosi se na naplatu troškova izdavanja upravn</w:t>
      </w:r>
      <w:r w:rsidR="00862808">
        <w:rPr>
          <w:rFonts w:cstheme="minorHAnsi"/>
        </w:rPr>
        <w:t>ih rješenja i troškova izvršenih</w:t>
      </w:r>
      <w:r w:rsidRPr="00214C0E">
        <w:rPr>
          <w:rFonts w:cstheme="minorHAnsi"/>
        </w:rPr>
        <w:t xml:space="preserve"> očevida trgovačkim društvima i građanima vezanim uz izdavanje suglasnosti za poduzimanje radnji i aktivnosti na cestovnom zemljištu (obavljanje radova na cesti, priključak, prilaz i sl.)</w:t>
      </w:r>
      <w:r>
        <w:rPr>
          <w:rFonts w:cstheme="minorHAnsi"/>
        </w:rPr>
        <w:t xml:space="preserve"> te na prihode od parnič</w:t>
      </w:r>
      <w:r w:rsidR="00862808">
        <w:rPr>
          <w:rFonts w:cstheme="minorHAnsi"/>
        </w:rPr>
        <w:t>nih troškova</w:t>
      </w:r>
      <w:r w:rsidRPr="00214C0E">
        <w:rPr>
          <w:rFonts w:cstheme="minorHAnsi"/>
        </w:rPr>
        <w:t>.</w:t>
      </w:r>
    </w:p>
    <w:p w14:paraId="54CCD4C3" w14:textId="16E8BA93" w:rsidR="001A64D8" w:rsidRPr="006F1D19" w:rsidRDefault="001A64D8" w:rsidP="00D25C98">
      <w:pPr>
        <w:pStyle w:val="Naslov4"/>
      </w:pPr>
      <w:bookmarkStart w:id="29" w:name="_Toc224047548"/>
      <w:r w:rsidRPr="006F1D19">
        <w:t>PRIHODI OD PRODAJE NEFINANCIJSKE IMOVINE</w:t>
      </w:r>
      <w:bookmarkEnd w:id="29"/>
    </w:p>
    <w:p w14:paraId="53E8EF58" w14:textId="31112952" w:rsidR="00B74139" w:rsidRDefault="00B74139" w:rsidP="00B74139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6E042E">
        <w:rPr>
          <w:rFonts w:eastAsiaTheme="minorEastAsia" w:cstheme="minorHAnsi"/>
          <w:lang w:eastAsia="hr-HR"/>
        </w:rPr>
        <w:t xml:space="preserve">Prihodi od prodaje nefinancijske imovine ostvareni </w:t>
      </w:r>
      <w:r w:rsidR="00D321D4">
        <w:rPr>
          <w:rFonts w:eastAsiaTheme="minorEastAsia" w:cstheme="minorHAnsi"/>
          <w:lang w:eastAsia="hr-HR"/>
        </w:rPr>
        <w:t xml:space="preserve">su </w:t>
      </w:r>
      <w:r w:rsidRPr="006E042E">
        <w:rPr>
          <w:rFonts w:eastAsiaTheme="minorEastAsia" w:cstheme="minorHAnsi"/>
          <w:lang w:eastAsia="hr-HR"/>
        </w:rPr>
        <w:t xml:space="preserve">u iznosu od </w:t>
      </w:r>
      <w:r w:rsidR="00722DE8">
        <w:rPr>
          <w:rFonts w:eastAsiaTheme="minorEastAsia" w:cstheme="minorHAnsi"/>
          <w:lang w:eastAsia="hr-HR"/>
        </w:rPr>
        <w:t>360,00</w:t>
      </w:r>
      <w:r>
        <w:rPr>
          <w:rFonts w:eastAsiaTheme="minorEastAsia" w:cstheme="minorHAnsi"/>
          <w:lang w:eastAsia="hr-HR"/>
        </w:rPr>
        <w:t xml:space="preserve"> eura ili </w:t>
      </w:r>
      <w:r w:rsidR="00722DE8">
        <w:rPr>
          <w:rFonts w:eastAsiaTheme="minorEastAsia" w:cstheme="minorHAnsi"/>
          <w:lang w:eastAsia="hr-HR"/>
        </w:rPr>
        <w:t>2,97</w:t>
      </w:r>
      <w:r>
        <w:rPr>
          <w:rFonts w:eastAsiaTheme="minorEastAsia" w:cstheme="minorHAnsi"/>
          <w:lang w:eastAsia="hr-HR"/>
        </w:rPr>
        <w:t xml:space="preserve">% </w:t>
      </w:r>
      <w:r w:rsidR="00507FEB">
        <w:rPr>
          <w:rFonts w:eastAsiaTheme="minorEastAsia" w:cstheme="minorHAnsi"/>
          <w:lang w:eastAsia="hr-HR"/>
        </w:rPr>
        <w:t xml:space="preserve">godišnjeg </w:t>
      </w:r>
      <w:r>
        <w:rPr>
          <w:rFonts w:eastAsiaTheme="minorEastAsia" w:cstheme="minorHAnsi"/>
          <w:lang w:eastAsia="hr-HR"/>
        </w:rPr>
        <w:t>plana. O</w:t>
      </w:r>
      <w:r w:rsidRPr="006E042E">
        <w:rPr>
          <w:rFonts w:eastAsiaTheme="minorEastAsia" w:cstheme="minorHAnsi"/>
          <w:lang w:eastAsia="hr-HR"/>
        </w:rPr>
        <w:t xml:space="preserve">dnose se na prihode od prodaje </w:t>
      </w:r>
      <w:r w:rsidR="00D321D4">
        <w:rPr>
          <w:rFonts w:eastAsiaTheme="minorEastAsia" w:cstheme="minorHAnsi"/>
          <w:lang w:eastAsia="hr-HR"/>
        </w:rPr>
        <w:t>uredskog namještaja</w:t>
      </w:r>
      <w:r>
        <w:rPr>
          <w:rFonts w:eastAsiaTheme="minorEastAsia" w:cstheme="minorHAnsi"/>
          <w:lang w:eastAsia="hr-HR"/>
        </w:rPr>
        <w:t xml:space="preserve"> (</w:t>
      </w:r>
      <w:r w:rsidR="00722DE8">
        <w:rPr>
          <w:rFonts w:eastAsiaTheme="minorEastAsia" w:cstheme="minorHAnsi"/>
          <w:lang w:eastAsia="hr-HR"/>
        </w:rPr>
        <w:t>310,00</w:t>
      </w:r>
      <w:r>
        <w:rPr>
          <w:rFonts w:eastAsiaTheme="minorEastAsia" w:cstheme="minorHAnsi"/>
          <w:lang w:eastAsia="hr-HR"/>
        </w:rPr>
        <w:t xml:space="preserve"> eura) i </w:t>
      </w:r>
      <w:r w:rsidR="00722DE8">
        <w:rPr>
          <w:rFonts w:eastAsiaTheme="minorEastAsia" w:cstheme="minorHAnsi"/>
          <w:lang w:eastAsia="hr-HR"/>
        </w:rPr>
        <w:t>komunikacijske opreme</w:t>
      </w:r>
      <w:r>
        <w:rPr>
          <w:rFonts w:eastAsiaTheme="minorEastAsia" w:cstheme="minorHAnsi"/>
          <w:lang w:eastAsia="hr-HR"/>
        </w:rPr>
        <w:t xml:space="preserve"> (</w:t>
      </w:r>
      <w:r w:rsidR="00722DE8">
        <w:rPr>
          <w:rFonts w:eastAsiaTheme="minorEastAsia" w:cstheme="minorHAnsi"/>
          <w:lang w:eastAsia="hr-HR"/>
        </w:rPr>
        <w:t>50,00</w:t>
      </w:r>
      <w:r>
        <w:rPr>
          <w:rFonts w:eastAsiaTheme="minorEastAsia" w:cstheme="minorHAnsi"/>
          <w:lang w:eastAsia="hr-HR"/>
        </w:rPr>
        <w:t xml:space="preserve"> eura)</w:t>
      </w:r>
      <w:r w:rsidRPr="006E042E">
        <w:rPr>
          <w:rFonts w:eastAsiaTheme="minorEastAsia" w:cstheme="minorHAnsi"/>
          <w:lang w:eastAsia="hr-HR"/>
        </w:rPr>
        <w:t>.</w:t>
      </w:r>
      <w:r w:rsidR="00722DE8">
        <w:rPr>
          <w:rFonts w:eastAsiaTheme="minorEastAsia" w:cstheme="minorHAnsi"/>
          <w:lang w:eastAsia="hr-HR"/>
        </w:rPr>
        <w:t xml:space="preserve"> Manje ostvarenje u odnosu na godišnji plan odnosi se na </w:t>
      </w:r>
      <w:r w:rsidR="001A3C6E">
        <w:rPr>
          <w:rFonts w:eastAsiaTheme="minorEastAsia" w:cstheme="minorHAnsi"/>
          <w:lang w:eastAsia="hr-HR"/>
        </w:rPr>
        <w:t>neostvarenu</w:t>
      </w:r>
      <w:r w:rsidR="00722DE8">
        <w:rPr>
          <w:rFonts w:eastAsiaTheme="minorEastAsia" w:cstheme="minorHAnsi"/>
          <w:lang w:eastAsia="hr-HR"/>
        </w:rPr>
        <w:t xml:space="preserve"> prodaju služben</w:t>
      </w:r>
      <w:r w:rsidR="00507FEB">
        <w:rPr>
          <w:rFonts w:eastAsiaTheme="minorEastAsia" w:cstheme="minorHAnsi"/>
          <w:lang w:eastAsia="hr-HR"/>
        </w:rPr>
        <w:t>og vozila u tijeku</w:t>
      </w:r>
      <w:r w:rsidR="00D321D4">
        <w:rPr>
          <w:rFonts w:eastAsiaTheme="minorEastAsia" w:cstheme="minorHAnsi"/>
          <w:lang w:eastAsia="hr-HR"/>
        </w:rPr>
        <w:t xml:space="preserve"> 2025. godine te</w:t>
      </w:r>
      <w:r w:rsidR="00722DE8">
        <w:rPr>
          <w:rFonts w:eastAsiaTheme="minorEastAsia" w:cstheme="minorHAnsi"/>
          <w:lang w:eastAsia="hr-HR"/>
        </w:rPr>
        <w:t xml:space="preserve"> je prema navedenom izostao prihod u iznosu od 11.751,08 eura. Navedena pro</w:t>
      </w:r>
      <w:r w:rsidR="00D321D4">
        <w:rPr>
          <w:rFonts w:eastAsiaTheme="minorEastAsia" w:cstheme="minorHAnsi"/>
          <w:lang w:eastAsia="hr-HR"/>
        </w:rPr>
        <w:t>daja planira se ostvariti u tijeku</w:t>
      </w:r>
      <w:r w:rsidR="00722DE8">
        <w:rPr>
          <w:rFonts w:eastAsiaTheme="minorEastAsia" w:cstheme="minorHAnsi"/>
          <w:lang w:eastAsia="hr-HR"/>
        </w:rPr>
        <w:t xml:space="preserve"> 2026. godine.</w:t>
      </w:r>
    </w:p>
    <w:p w14:paraId="46B42971" w14:textId="42AD7F2A" w:rsidR="000B3A72" w:rsidRPr="00CD5B87" w:rsidRDefault="000B3A72" w:rsidP="00D25C98">
      <w:pPr>
        <w:pStyle w:val="Naslov3"/>
      </w:pPr>
      <w:bookmarkStart w:id="30" w:name="_Toc14862489"/>
      <w:bookmarkStart w:id="31" w:name="_Toc224047549"/>
      <w:r w:rsidRPr="00CD5B87">
        <w:lastRenderedPageBreak/>
        <w:t xml:space="preserve">RASHODI I </w:t>
      </w:r>
      <w:r w:rsidRPr="00310D7E">
        <w:t>IZDACI</w:t>
      </w:r>
      <w:bookmarkEnd w:id="30"/>
      <w:bookmarkEnd w:id="31"/>
    </w:p>
    <w:p w14:paraId="000A773E" w14:textId="66F739E9" w:rsidR="000B3A72" w:rsidRDefault="000B3A72" w:rsidP="00183048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  <w:b/>
        </w:rPr>
        <w:t>Ukupni rashodi i izdaci</w:t>
      </w:r>
      <w:r w:rsidRPr="00CD5B87">
        <w:rPr>
          <w:rFonts w:cstheme="minorHAnsi"/>
        </w:rPr>
        <w:t xml:space="preserve"> planir</w:t>
      </w:r>
      <w:r w:rsidR="00E47FE4">
        <w:rPr>
          <w:rFonts w:cstheme="minorHAnsi"/>
        </w:rPr>
        <w:t>a</w:t>
      </w:r>
      <w:r w:rsidR="004423C8">
        <w:rPr>
          <w:rFonts w:cstheme="minorHAnsi"/>
        </w:rPr>
        <w:t xml:space="preserve">ni su u iznosu od </w:t>
      </w:r>
      <w:r w:rsidR="00C15DC7">
        <w:rPr>
          <w:rFonts w:cstheme="minorHAnsi"/>
        </w:rPr>
        <w:t>20.032.861,59</w:t>
      </w:r>
      <w:r w:rsidR="00350C8B">
        <w:rPr>
          <w:rFonts w:cstheme="minorHAnsi"/>
        </w:rPr>
        <w:t xml:space="preserve"> eur</w:t>
      </w:r>
      <w:r w:rsidR="0022388B">
        <w:rPr>
          <w:rFonts w:cstheme="minorHAnsi"/>
        </w:rPr>
        <w:t>a</w:t>
      </w:r>
      <w:r w:rsidR="00EB4963">
        <w:rPr>
          <w:rFonts w:cstheme="minorHAnsi"/>
        </w:rPr>
        <w:t>, dok su u</w:t>
      </w:r>
      <w:r w:rsidR="00AC7724">
        <w:rPr>
          <w:rFonts w:cstheme="minorHAnsi"/>
        </w:rPr>
        <w:t xml:space="preserve"> </w:t>
      </w:r>
      <w:r w:rsidRPr="00CD5B87">
        <w:rPr>
          <w:rFonts w:cstheme="minorHAnsi"/>
        </w:rPr>
        <w:t>202</w:t>
      </w:r>
      <w:r w:rsidR="00C15DC7">
        <w:rPr>
          <w:rFonts w:cstheme="minorHAnsi"/>
        </w:rPr>
        <w:t>5</w:t>
      </w:r>
      <w:r w:rsidRPr="00CD5B87">
        <w:rPr>
          <w:rFonts w:cstheme="minorHAnsi"/>
        </w:rPr>
        <w:t>. godin</w:t>
      </w:r>
      <w:r w:rsidR="00EB4963">
        <w:rPr>
          <w:rFonts w:cstheme="minorHAnsi"/>
        </w:rPr>
        <w:t>i</w:t>
      </w:r>
      <w:r w:rsidRPr="00CD5B87">
        <w:rPr>
          <w:rFonts w:cstheme="minorHAnsi"/>
        </w:rPr>
        <w:t xml:space="preserve"> iz</w:t>
      </w:r>
      <w:r w:rsidR="004423C8">
        <w:rPr>
          <w:rFonts w:cstheme="minorHAnsi"/>
        </w:rPr>
        <w:t xml:space="preserve">vršeni u iznosu od </w:t>
      </w:r>
      <w:r w:rsidR="00C15DC7">
        <w:rPr>
          <w:rFonts w:cstheme="minorHAnsi"/>
        </w:rPr>
        <w:t>16.416.709,29</w:t>
      </w:r>
      <w:r w:rsidR="00350C8B">
        <w:rPr>
          <w:rFonts w:cstheme="minorHAnsi"/>
        </w:rPr>
        <w:t xml:space="preserve"> eur</w:t>
      </w:r>
      <w:r w:rsidR="0022388B">
        <w:rPr>
          <w:rFonts w:cstheme="minorHAnsi"/>
        </w:rPr>
        <w:t>a</w:t>
      </w:r>
      <w:r w:rsidR="004423C8">
        <w:rPr>
          <w:rFonts w:cstheme="minorHAnsi"/>
        </w:rPr>
        <w:t xml:space="preserve"> ili</w:t>
      </w:r>
      <w:r w:rsidR="0022388B">
        <w:rPr>
          <w:rFonts w:cstheme="minorHAnsi"/>
        </w:rPr>
        <w:t xml:space="preserve"> </w:t>
      </w:r>
      <w:r w:rsidR="00C15DC7">
        <w:rPr>
          <w:rFonts w:cstheme="minorHAnsi"/>
        </w:rPr>
        <w:t>81,95</w:t>
      </w:r>
      <w:r w:rsidR="00E47FE4">
        <w:rPr>
          <w:rFonts w:cstheme="minorHAnsi"/>
        </w:rPr>
        <w:t>% godišnje</w:t>
      </w:r>
      <w:r w:rsidR="00183048">
        <w:rPr>
          <w:rFonts w:cstheme="minorHAnsi"/>
        </w:rPr>
        <w:t xml:space="preserve">g plana, što je za </w:t>
      </w:r>
      <w:r w:rsidR="00D07830">
        <w:rPr>
          <w:rFonts w:cstheme="minorHAnsi"/>
        </w:rPr>
        <w:t>1.289.258,89</w:t>
      </w:r>
      <w:r w:rsidR="00055B85">
        <w:rPr>
          <w:rFonts w:cstheme="minorHAnsi"/>
        </w:rPr>
        <w:t xml:space="preserve"> </w:t>
      </w:r>
      <w:r w:rsidR="00350C8B">
        <w:rPr>
          <w:rFonts w:cstheme="minorHAnsi"/>
        </w:rPr>
        <w:t>eur</w:t>
      </w:r>
      <w:r w:rsidR="0022388B">
        <w:rPr>
          <w:rFonts w:cstheme="minorHAnsi"/>
        </w:rPr>
        <w:t>a</w:t>
      </w:r>
      <w:r w:rsidR="004423C8">
        <w:rPr>
          <w:rFonts w:cstheme="minorHAnsi"/>
        </w:rPr>
        <w:t xml:space="preserve"> ili </w:t>
      </w:r>
      <w:r w:rsidR="00D07830">
        <w:rPr>
          <w:rFonts w:cstheme="minorHAnsi"/>
        </w:rPr>
        <w:t>8,52</w:t>
      </w:r>
      <w:r w:rsidRPr="00CD5B87">
        <w:rPr>
          <w:rFonts w:cstheme="minorHAnsi"/>
        </w:rPr>
        <w:t>% više u usporedbi s istim razdobljem prethodne godine.</w:t>
      </w:r>
    </w:p>
    <w:p w14:paraId="46E093CE" w14:textId="74B5D5F5" w:rsidR="003D40D4" w:rsidRPr="0029390F" w:rsidRDefault="003D40D4" w:rsidP="003D40D4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29390F">
        <w:rPr>
          <w:rFonts w:eastAsiaTheme="minorEastAsia" w:cstheme="minorHAnsi"/>
          <w:lang w:eastAsia="hr-HR"/>
        </w:rPr>
        <w:t xml:space="preserve">Vrijednosno najznačajniji udjel u rashodima poslovanja imaju materijalni rashodi u iznosu </w:t>
      </w:r>
      <w:r w:rsidR="00EB4963" w:rsidRPr="0029390F">
        <w:rPr>
          <w:rFonts w:eastAsiaTheme="minorEastAsia" w:cstheme="minorHAnsi"/>
          <w:lang w:eastAsia="hr-HR"/>
        </w:rPr>
        <w:t xml:space="preserve">od </w:t>
      </w:r>
      <w:r w:rsidR="00B84CCF" w:rsidRPr="0029390F">
        <w:rPr>
          <w:rFonts w:eastAsiaTheme="minorEastAsia" w:cstheme="minorHAnsi"/>
          <w:lang w:eastAsia="hr-HR"/>
        </w:rPr>
        <w:t>11.281.347,93</w:t>
      </w:r>
      <w:r w:rsidRPr="0029390F">
        <w:rPr>
          <w:rFonts w:eastAsiaTheme="minorEastAsia" w:cstheme="minorHAnsi"/>
          <w:lang w:eastAsia="hr-HR"/>
        </w:rPr>
        <w:t xml:space="preserve"> eur</w:t>
      </w:r>
      <w:r w:rsidR="008D30EF" w:rsidRPr="0029390F">
        <w:rPr>
          <w:rFonts w:eastAsiaTheme="minorEastAsia" w:cstheme="minorHAnsi"/>
          <w:lang w:eastAsia="hr-HR"/>
        </w:rPr>
        <w:t>a</w:t>
      </w:r>
      <w:r w:rsidR="003547EC" w:rsidRPr="0029390F">
        <w:rPr>
          <w:rFonts w:eastAsiaTheme="minorEastAsia" w:cstheme="minorHAnsi"/>
          <w:lang w:eastAsia="hr-HR"/>
        </w:rPr>
        <w:t xml:space="preserve"> ili 86,17</w:t>
      </w:r>
      <w:r w:rsidRPr="0029390F">
        <w:rPr>
          <w:rFonts w:eastAsiaTheme="minorEastAsia" w:cstheme="minorHAnsi"/>
          <w:lang w:eastAsia="hr-HR"/>
        </w:rPr>
        <w:t xml:space="preserve">%, zatim </w:t>
      </w:r>
      <w:r w:rsidR="003547EC" w:rsidRPr="0029390F">
        <w:rPr>
          <w:rFonts w:eastAsiaTheme="minorEastAsia" w:cstheme="minorHAnsi"/>
          <w:lang w:eastAsia="hr-HR"/>
        </w:rPr>
        <w:t xml:space="preserve">rashodi za zaposlene u iznosu od 901.371,48 eura ili 6,88%, </w:t>
      </w:r>
      <w:r w:rsidRPr="0029390F">
        <w:rPr>
          <w:rFonts w:eastAsiaTheme="minorEastAsia" w:cstheme="minorHAnsi"/>
          <w:lang w:eastAsia="hr-HR"/>
        </w:rPr>
        <w:t xml:space="preserve">pomoći u iznosu </w:t>
      </w:r>
      <w:r w:rsidR="00EB4963" w:rsidRPr="0029390F">
        <w:rPr>
          <w:rFonts w:eastAsiaTheme="minorEastAsia" w:cstheme="minorHAnsi"/>
          <w:lang w:eastAsia="hr-HR"/>
        </w:rPr>
        <w:t xml:space="preserve">od </w:t>
      </w:r>
      <w:r w:rsidR="003547EC" w:rsidRPr="0029390F">
        <w:rPr>
          <w:rFonts w:eastAsiaTheme="minorEastAsia" w:cstheme="minorHAnsi"/>
          <w:lang w:eastAsia="hr-HR"/>
        </w:rPr>
        <w:t>803.862,43</w:t>
      </w:r>
      <w:r w:rsidRPr="0029390F">
        <w:rPr>
          <w:rFonts w:eastAsiaTheme="minorEastAsia" w:cstheme="minorHAnsi"/>
          <w:lang w:eastAsia="hr-HR"/>
        </w:rPr>
        <w:t xml:space="preserve"> eur</w:t>
      </w:r>
      <w:r w:rsidR="008D30EF" w:rsidRPr="0029390F">
        <w:rPr>
          <w:rFonts w:eastAsiaTheme="minorEastAsia" w:cstheme="minorHAnsi"/>
          <w:lang w:eastAsia="hr-HR"/>
        </w:rPr>
        <w:t>a</w:t>
      </w:r>
      <w:r w:rsidRPr="0029390F">
        <w:rPr>
          <w:rFonts w:eastAsiaTheme="minorEastAsia" w:cstheme="minorHAnsi"/>
          <w:lang w:eastAsia="hr-HR"/>
        </w:rPr>
        <w:t xml:space="preserve"> ili </w:t>
      </w:r>
      <w:r w:rsidR="003547EC" w:rsidRPr="0029390F">
        <w:rPr>
          <w:rFonts w:eastAsiaTheme="minorEastAsia" w:cstheme="minorHAnsi"/>
          <w:lang w:eastAsia="hr-HR"/>
        </w:rPr>
        <w:t>6,14</w:t>
      </w:r>
      <w:r w:rsidRPr="0029390F">
        <w:rPr>
          <w:rFonts w:eastAsiaTheme="minorEastAsia" w:cstheme="minorHAnsi"/>
          <w:lang w:eastAsia="hr-HR"/>
        </w:rPr>
        <w:t xml:space="preserve">%, </w:t>
      </w:r>
      <w:r w:rsidR="008D30EF" w:rsidRPr="0029390F">
        <w:rPr>
          <w:rFonts w:eastAsiaTheme="minorEastAsia" w:cstheme="minorHAnsi"/>
          <w:lang w:eastAsia="hr-HR"/>
        </w:rPr>
        <w:t xml:space="preserve">financijski rashodi u iznosu </w:t>
      </w:r>
      <w:r w:rsidR="00FB63CD" w:rsidRPr="0029390F">
        <w:rPr>
          <w:rFonts w:eastAsiaTheme="minorEastAsia" w:cstheme="minorHAnsi"/>
          <w:lang w:eastAsia="hr-HR"/>
        </w:rPr>
        <w:t xml:space="preserve">od </w:t>
      </w:r>
      <w:r w:rsidR="003547EC" w:rsidRPr="0029390F">
        <w:rPr>
          <w:rFonts w:eastAsiaTheme="minorEastAsia" w:cstheme="minorHAnsi"/>
          <w:lang w:eastAsia="hr-HR"/>
        </w:rPr>
        <w:t>80.508,43</w:t>
      </w:r>
      <w:r w:rsidR="008D30EF" w:rsidRPr="0029390F">
        <w:rPr>
          <w:rFonts w:eastAsiaTheme="minorEastAsia" w:cstheme="minorHAnsi"/>
          <w:lang w:eastAsia="hr-HR"/>
        </w:rPr>
        <w:t xml:space="preserve"> eura ili </w:t>
      </w:r>
      <w:r w:rsidR="003547EC" w:rsidRPr="0029390F">
        <w:rPr>
          <w:rFonts w:eastAsiaTheme="minorEastAsia" w:cstheme="minorHAnsi"/>
          <w:lang w:eastAsia="hr-HR"/>
        </w:rPr>
        <w:t>0,61</w:t>
      </w:r>
      <w:r w:rsidR="008D30EF" w:rsidRPr="0029390F">
        <w:rPr>
          <w:rFonts w:eastAsiaTheme="minorEastAsia" w:cstheme="minorHAnsi"/>
          <w:lang w:eastAsia="hr-HR"/>
        </w:rPr>
        <w:t xml:space="preserve">% te </w:t>
      </w:r>
      <w:r w:rsidRPr="0029390F">
        <w:rPr>
          <w:rFonts w:eastAsiaTheme="minorEastAsia" w:cstheme="minorHAnsi"/>
          <w:lang w:eastAsia="hr-HR"/>
        </w:rPr>
        <w:t xml:space="preserve">ostali rashodi </w:t>
      </w:r>
      <w:r w:rsidR="00EB4963" w:rsidRPr="0029390F">
        <w:rPr>
          <w:rFonts w:eastAsiaTheme="minorEastAsia" w:cstheme="minorHAnsi"/>
          <w:lang w:eastAsia="hr-HR"/>
        </w:rPr>
        <w:t>u iznosu od</w:t>
      </w:r>
      <w:r w:rsidRPr="0029390F">
        <w:rPr>
          <w:rFonts w:eastAsiaTheme="minorEastAsia" w:cstheme="minorHAnsi"/>
          <w:lang w:eastAsia="hr-HR"/>
        </w:rPr>
        <w:t xml:space="preserve"> </w:t>
      </w:r>
      <w:r w:rsidR="003547EC" w:rsidRPr="0029390F">
        <w:rPr>
          <w:rFonts w:eastAsiaTheme="minorEastAsia" w:cstheme="minorHAnsi"/>
          <w:lang w:eastAsia="hr-HR"/>
        </w:rPr>
        <w:t>25.109,69</w:t>
      </w:r>
      <w:r w:rsidRPr="0029390F">
        <w:rPr>
          <w:rFonts w:eastAsiaTheme="minorEastAsia" w:cstheme="minorHAnsi"/>
          <w:lang w:eastAsia="hr-HR"/>
        </w:rPr>
        <w:t xml:space="preserve"> eur</w:t>
      </w:r>
      <w:r w:rsidR="00FB63CD" w:rsidRPr="0029390F">
        <w:rPr>
          <w:rFonts w:eastAsiaTheme="minorEastAsia" w:cstheme="minorHAnsi"/>
          <w:lang w:eastAsia="hr-HR"/>
        </w:rPr>
        <w:t>a</w:t>
      </w:r>
      <w:r w:rsidRPr="0029390F">
        <w:rPr>
          <w:rFonts w:eastAsiaTheme="minorEastAsia" w:cstheme="minorHAnsi"/>
          <w:lang w:eastAsia="hr-HR"/>
        </w:rPr>
        <w:t xml:space="preserve"> </w:t>
      </w:r>
      <w:r w:rsidR="00EB4963" w:rsidRPr="0029390F">
        <w:rPr>
          <w:rFonts w:eastAsiaTheme="minorEastAsia" w:cstheme="minorHAnsi"/>
          <w:lang w:eastAsia="hr-HR"/>
        </w:rPr>
        <w:t xml:space="preserve">ili </w:t>
      </w:r>
      <w:r w:rsidR="003547EC" w:rsidRPr="0029390F">
        <w:rPr>
          <w:rFonts w:eastAsiaTheme="minorEastAsia" w:cstheme="minorHAnsi"/>
          <w:lang w:eastAsia="hr-HR"/>
        </w:rPr>
        <w:t>0,20</w:t>
      </w:r>
      <w:r w:rsidR="008D30EF" w:rsidRPr="0029390F">
        <w:rPr>
          <w:rFonts w:eastAsiaTheme="minorEastAsia" w:cstheme="minorHAnsi"/>
          <w:lang w:eastAsia="hr-HR"/>
        </w:rPr>
        <w:t>%.</w:t>
      </w:r>
    </w:p>
    <w:p w14:paraId="5DE3EBD2" w14:textId="52B00448" w:rsidR="000B3A72" w:rsidRPr="00CD5B87" w:rsidRDefault="008F627C" w:rsidP="00183048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U T</w:t>
      </w:r>
      <w:r w:rsidR="00880D4A">
        <w:rPr>
          <w:rFonts w:cstheme="minorHAnsi"/>
        </w:rPr>
        <w:t xml:space="preserve">ablici </w:t>
      </w:r>
      <w:r w:rsidR="00E47FE4">
        <w:rPr>
          <w:rFonts w:cstheme="minorHAnsi"/>
        </w:rPr>
        <w:t>5</w:t>
      </w:r>
      <w:r w:rsidR="008008AE">
        <w:rPr>
          <w:rFonts w:cstheme="minorHAnsi"/>
        </w:rPr>
        <w:t xml:space="preserve">. </w:t>
      </w:r>
      <w:r w:rsidR="00B61CEA">
        <w:rPr>
          <w:rFonts w:cstheme="minorHAnsi"/>
        </w:rPr>
        <w:t>koja slijedi prikazani su izvršeni rashodi i izdaci</w:t>
      </w:r>
      <w:r w:rsidR="000B3A72" w:rsidRPr="00CD5B87">
        <w:rPr>
          <w:rFonts w:cstheme="minorHAnsi"/>
        </w:rPr>
        <w:t xml:space="preserve"> Županijske uprave za ceste</w:t>
      </w:r>
      <w:r w:rsidR="00EB4963">
        <w:rPr>
          <w:rFonts w:cstheme="minorHAnsi"/>
        </w:rPr>
        <w:t xml:space="preserve"> Primorsko-goranske županije u </w:t>
      </w:r>
      <w:r w:rsidR="000B3A72" w:rsidRPr="00CD5B87">
        <w:rPr>
          <w:rFonts w:cstheme="minorHAnsi"/>
        </w:rPr>
        <w:t>202</w:t>
      </w:r>
      <w:r w:rsidR="00D17105">
        <w:rPr>
          <w:rFonts w:cstheme="minorHAnsi"/>
        </w:rPr>
        <w:t>5</w:t>
      </w:r>
      <w:r w:rsidR="00EB4963">
        <w:rPr>
          <w:rFonts w:cstheme="minorHAnsi"/>
        </w:rPr>
        <w:t>. godini</w:t>
      </w:r>
      <w:r w:rsidR="000B3A72" w:rsidRPr="00CD5B87">
        <w:rPr>
          <w:rFonts w:cstheme="minorHAnsi"/>
        </w:rPr>
        <w:t xml:space="preserve"> s usp</w:t>
      </w:r>
      <w:r w:rsidR="006E5A8B">
        <w:rPr>
          <w:rFonts w:cstheme="minorHAnsi"/>
        </w:rPr>
        <w:t xml:space="preserve">orednim pokazateljima izvršenja </w:t>
      </w:r>
      <w:r w:rsidR="000B3A72" w:rsidRPr="00CD5B87">
        <w:rPr>
          <w:rFonts w:cstheme="minorHAnsi"/>
        </w:rPr>
        <w:t>u 202</w:t>
      </w:r>
      <w:r w:rsidR="00D17105">
        <w:rPr>
          <w:rFonts w:cstheme="minorHAnsi"/>
        </w:rPr>
        <w:t>4</w:t>
      </w:r>
      <w:r w:rsidR="00EB4963">
        <w:rPr>
          <w:rFonts w:cstheme="minorHAnsi"/>
        </w:rPr>
        <w:t>. godini</w:t>
      </w:r>
      <w:r w:rsidR="00D17105">
        <w:rPr>
          <w:rFonts w:cstheme="minorHAnsi"/>
        </w:rPr>
        <w:t xml:space="preserve"> </w:t>
      </w:r>
      <w:r w:rsidR="00D17105" w:rsidRPr="00D17105">
        <w:rPr>
          <w:rFonts w:cstheme="minorHAnsi"/>
        </w:rPr>
        <w:t>i izvornog plana za 2025. godinu</w:t>
      </w:r>
      <w:r w:rsidR="001F0379">
        <w:rPr>
          <w:rFonts w:cstheme="minorHAnsi"/>
        </w:rPr>
        <w:t xml:space="preserve">, te </w:t>
      </w:r>
      <w:r>
        <w:rPr>
          <w:rFonts w:cstheme="minorHAnsi"/>
        </w:rPr>
        <w:t xml:space="preserve">u </w:t>
      </w:r>
      <w:r w:rsidR="001F0379">
        <w:rPr>
          <w:rFonts w:cstheme="minorHAnsi"/>
        </w:rPr>
        <w:t>gra</w:t>
      </w:r>
      <w:r>
        <w:rPr>
          <w:rFonts w:cstheme="minorHAnsi"/>
        </w:rPr>
        <w:t xml:space="preserve">fičkom </w:t>
      </w:r>
      <w:r w:rsidR="006A02B2">
        <w:rPr>
          <w:rFonts w:cstheme="minorHAnsi"/>
        </w:rPr>
        <w:t>prikaz</w:t>
      </w:r>
      <w:r>
        <w:rPr>
          <w:rFonts w:cstheme="minorHAnsi"/>
        </w:rPr>
        <w:t>u u G</w:t>
      </w:r>
      <w:r w:rsidR="006A02B2">
        <w:rPr>
          <w:rFonts w:cstheme="minorHAnsi"/>
        </w:rPr>
        <w:t>rafikonu 2.</w:t>
      </w:r>
    </w:p>
    <w:p w14:paraId="6062E12C" w14:textId="5183A448" w:rsidR="00A8104D" w:rsidRPr="0020248B" w:rsidRDefault="00A8104D" w:rsidP="00F8051A">
      <w:pPr>
        <w:pStyle w:val="Opisslike"/>
        <w:keepNext/>
        <w:spacing w:after="120"/>
        <w:ind w:left="907" w:hanging="907"/>
        <w:rPr>
          <w:i w:val="0"/>
          <w:color w:val="222A35" w:themeColor="text2" w:themeShade="80"/>
          <w:sz w:val="22"/>
          <w:szCs w:val="22"/>
        </w:rPr>
      </w:pPr>
      <w:bookmarkStart w:id="32" w:name="_Toc109651259"/>
      <w:bookmarkStart w:id="33" w:name="_Toc224047005"/>
      <w:r w:rsidRPr="0020248B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20248B">
        <w:rPr>
          <w:i w:val="0"/>
          <w:color w:val="222A35" w:themeColor="text2" w:themeShade="80"/>
          <w:sz w:val="22"/>
          <w:szCs w:val="22"/>
        </w:rPr>
        <w:fldChar w:fldCharType="begin"/>
      </w:r>
      <w:r w:rsidRPr="0020248B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20248B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5</w:t>
      </w:r>
      <w:r w:rsidRPr="0020248B">
        <w:rPr>
          <w:i w:val="0"/>
          <w:color w:val="222A35" w:themeColor="text2" w:themeShade="80"/>
          <w:sz w:val="22"/>
          <w:szCs w:val="22"/>
        </w:rPr>
        <w:fldChar w:fldCharType="end"/>
      </w:r>
      <w:r w:rsidR="00FE2594" w:rsidRPr="0020248B">
        <w:rPr>
          <w:i w:val="0"/>
          <w:color w:val="222A35" w:themeColor="text2" w:themeShade="80"/>
          <w:sz w:val="22"/>
          <w:szCs w:val="22"/>
        </w:rPr>
        <w:t>.</w:t>
      </w:r>
      <w:r w:rsidR="00D10C51">
        <w:rPr>
          <w:i w:val="0"/>
          <w:color w:val="222A35" w:themeColor="text2" w:themeShade="80"/>
          <w:sz w:val="22"/>
          <w:szCs w:val="22"/>
        </w:rPr>
        <w:t xml:space="preserve"> Izvršenje rashoda i izdataka u</w:t>
      </w:r>
      <w:r w:rsidRPr="0020248B">
        <w:rPr>
          <w:i w:val="0"/>
          <w:color w:val="222A35" w:themeColor="text2" w:themeShade="80"/>
          <w:sz w:val="22"/>
          <w:szCs w:val="22"/>
        </w:rPr>
        <w:t xml:space="preserve"> 202</w:t>
      </w:r>
      <w:r w:rsidR="00315A25">
        <w:rPr>
          <w:i w:val="0"/>
          <w:color w:val="222A35" w:themeColor="text2" w:themeShade="80"/>
          <w:sz w:val="22"/>
          <w:szCs w:val="22"/>
        </w:rPr>
        <w:t>5</w:t>
      </w:r>
      <w:r w:rsidRPr="0020248B">
        <w:rPr>
          <w:i w:val="0"/>
          <w:color w:val="222A35" w:themeColor="text2" w:themeShade="80"/>
          <w:sz w:val="22"/>
          <w:szCs w:val="22"/>
        </w:rPr>
        <w:t>. godin</w:t>
      </w:r>
      <w:r w:rsidR="00D10C51">
        <w:rPr>
          <w:i w:val="0"/>
          <w:color w:val="222A35" w:themeColor="text2" w:themeShade="80"/>
          <w:sz w:val="22"/>
          <w:szCs w:val="22"/>
        </w:rPr>
        <w:t>i</w:t>
      </w:r>
      <w:r w:rsidRPr="0020248B">
        <w:rPr>
          <w:i w:val="0"/>
          <w:color w:val="222A35" w:themeColor="text2" w:themeShade="80"/>
          <w:sz w:val="22"/>
          <w:szCs w:val="22"/>
        </w:rPr>
        <w:t xml:space="preserve"> s usporednim pokazateljima iz</w:t>
      </w:r>
      <w:r w:rsidR="00D10C51">
        <w:rPr>
          <w:i w:val="0"/>
          <w:color w:val="222A35" w:themeColor="text2" w:themeShade="80"/>
          <w:sz w:val="22"/>
          <w:szCs w:val="22"/>
        </w:rPr>
        <w:t xml:space="preserve">vršenja u </w:t>
      </w:r>
      <w:r w:rsidR="004423C8" w:rsidRPr="0020248B">
        <w:rPr>
          <w:i w:val="0"/>
          <w:color w:val="222A35" w:themeColor="text2" w:themeShade="80"/>
          <w:sz w:val="22"/>
          <w:szCs w:val="22"/>
        </w:rPr>
        <w:t>202</w:t>
      </w:r>
      <w:r w:rsidR="00315A25">
        <w:rPr>
          <w:i w:val="0"/>
          <w:color w:val="222A35" w:themeColor="text2" w:themeShade="80"/>
          <w:sz w:val="22"/>
          <w:szCs w:val="22"/>
        </w:rPr>
        <w:t>4</w:t>
      </w:r>
      <w:r w:rsidRPr="0020248B">
        <w:rPr>
          <w:i w:val="0"/>
          <w:color w:val="222A35" w:themeColor="text2" w:themeShade="80"/>
          <w:sz w:val="22"/>
          <w:szCs w:val="22"/>
        </w:rPr>
        <w:t>. godin</w:t>
      </w:r>
      <w:bookmarkEnd w:id="32"/>
      <w:r w:rsidR="00D10C51">
        <w:rPr>
          <w:i w:val="0"/>
          <w:color w:val="222A35" w:themeColor="text2" w:themeShade="80"/>
          <w:sz w:val="22"/>
          <w:szCs w:val="22"/>
        </w:rPr>
        <w:t>i</w:t>
      </w:r>
      <w:r w:rsidR="00D17105" w:rsidRPr="00D17105">
        <w:rPr>
          <w:rFonts w:cstheme="minorHAnsi"/>
          <w:i w:val="0"/>
          <w:color w:val="222A35" w:themeColor="text2" w:themeShade="80"/>
          <w:sz w:val="22"/>
          <w:szCs w:val="22"/>
        </w:rPr>
        <w:t xml:space="preserve"> </w:t>
      </w:r>
      <w:r w:rsidR="00D17105">
        <w:rPr>
          <w:rFonts w:cstheme="minorHAnsi"/>
          <w:i w:val="0"/>
          <w:color w:val="222A35" w:themeColor="text2" w:themeShade="80"/>
          <w:sz w:val="22"/>
          <w:szCs w:val="22"/>
        </w:rPr>
        <w:t>i izvornog plana za 2025. godinu</w:t>
      </w:r>
      <w:bookmarkEnd w:id="33"/>
    </w:p>
    <w:tbl>
      <w:tblPr>
        <w:tblW w:w="9665" w:type="dxa"/>
        <w:jc w:val="center"/>
        <w:tblLook w:val="04A0" w:firstRow="1" w:lastRow="0" w:firstColumn="1" w:lastColumn="0" w:noHBand="0" w:noVBand="1"/>
      </w:tblPr>
      <w:tblGrid>
        <w:gridCol w:w="874"/>
        <w:gridCol w:w="3526"/>
        <w:gridCol w:w="1276"/>
        <w:gridCol w:w="1276"/>
        <w:gridCol w:w="1275"/>
        <w:gridCol w:w="719"/>
        <w:gridCol w:w="719"/>
      </w:tblGrid>
      <w:tr w:rsidR="00315A25" w:rsidRPr="00315A25" w14:paraId="24505FFD" w14:textId="77777777" w:rsidTr="00315A25">
        <w:trPr>
          <w:trHeight w:val="48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B5419E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Brojčana </w:t>
            </w: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oznaka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A34235" w14:textId="2C3C1892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Naziv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 računa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2FD61A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357E08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30E9E6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89F319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5./3.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3FD80D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5./4. </w:t>
            </w:r>
          </w:p>
        </w:tc>
      </w:tr>
      <w:tr w:rsidR="00315A25" w:rsidRPr="00315A25" w14:paraId="193FECFF" w14:textId="77777777" w:rsidTr="00315A25">
        <w:trPr>
          <w:trHeight w:val="124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7F2AA7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9415EB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B19BCA0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662150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A18D614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D972D7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177713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</w:tr>
      <w:tr w:rsidR="00315A25" w:rsidRPr="00315A25" w14:paraId="147D1D28" w14:textId="77777777" w:rsidTr="00315A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473A4FD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8D5A26" w14:textId="77777777" w:rsidR="00315A25" w:rsidRPr="00315A25" w:rsidRDefault="00315A25" w:rsidP="00315A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C82E4A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13.743.403,67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A46F21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15.503.086,29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47F8D7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13.092.199,96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2229C2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95,26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6A8CAEA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84,45</w:t>
            </w:r>
          </w:p>
        </w:tc>
      </w:tr>
      <w:tr w:rsidR="00315A25" w:rsidRPr="00315A25" w14:paraId="71D66AE4" w14:textId="77777777" w:rsidTr="00315A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54D2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6D0D8" w14:textId="77777777" w:rsidR="00315A25" w:rsidRPr="00315A25" w:rsidRDefault="00315A25" w:rsidP="00315A2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DAC7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570.642,56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E075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932.991,67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AC04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901.371,48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1E22F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157,96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D88D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96,61</w:t>
            </w:r>
          </w:p>
        </w:tc>
      </w:tr>
      <w:tr w:rsidR="00315A25" w:rsidRPr="00315A25" w14:paraId="031589AF" w14:textId="77777777" w:rsidTr="00315A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FAC95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9E6E" w14:textId="77777777" w:rsidR="00315A25" w:rsidRPr="00315A25" w:rsidRDefault="00315A25" w:rsidP="00315A2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6B4AE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12.316.831,37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656E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13.505.923,33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60E38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11.281.347,93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C4B58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91,59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33002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83,53</w:t>
            </w:r>
          </w:p>
        </w:tc>
      </w:tr>
      <w:tr w:rsidR="00315A25" w:rsidRPr="00315A25" w14:paraId="77E24512" w14:textId="77777777" w:rsidTr="00315A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FA097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AC88" w14:textId="77777777" w:rsidR="00315A25" w:rsidRPr="00315A25" w:rsidRDefault="00315A25" w:rsidP="00315A2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7A88E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31.395,24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56E9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84.771,29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DDEB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80.508,43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25FD5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256,44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3197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94,97</w:t>
            </w:r>
          </w:p>
        </w:tc>
      </w:tr>
      <w:tr w:rsidR="00315A25" w:rsidRPr="00315A25" w14:paraId="6467B0CD" w14:textId="77777777" w:rsidTr="00315A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ADDD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C788" w14:textId="77777777" w:rsidR="00315A25" w:rsidRPr="00315A25" w:rsidRDefault="00315A25" w:rsidP="00315A2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59AD9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819.758,88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26CFF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870.400,00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C3759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803.862,43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41A77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98,06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057F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92,36</w:t>
            </w:r>
          </w:p>
        </w:tc>
      </w:tr>
      <w:tr w:rsidR="00315A25" w:rsidRPr="00315A25" w14:paraId="4EA93B97" w14:textId="77777777" w:rsidTr="00315A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6963D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A656" w14:textId="77777777" w:rsidR="00315A25" w:rsidRPr="00315A25" w:rsidRDefault="00315A25" w:rsidP="00315A2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FF49B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4.775,62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9D19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109.000,00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2AA29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25.109,69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DE2D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525,79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6B25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23,04</w:t>
            </w:r>
          </w:p>
        </w:tc>
      </w:tr>
      <w:tr w:rsidR="00315A25" w:rsidRPr="00315A25" w14:paraId="230B5529" w14:textId="77777777" w:rsidTr="00315A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D5FDED4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1F45616" w14:textId="77777777" w:rsidR="00315A25" w:rsidRPr="00315A25" w:rsidRDefault="00315A25" w:rsidP="00315A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97797C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984.046,73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1C6EAD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4.129.775,30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CEBA83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2.924.509,33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5D6215B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297,19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CAA43C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70,82</w:t>
            </w:r>
          </w:p>
        </w:tc>
      </w:tr>
      <w:tr w:rsidR="006950E4" w:rsidRPr="00315A25" w14:paraId="3A2502DE" w14:textId="77777777" w:rsidTr="006950E4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C4B0" w14:textId="77777777" w:rsidR="006950E4" w:rsidRPr="00315A25" w:rsidRDefault="006950E4" w:rsidP="006950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C4FA9" w14:textId="77777777" w:rsidR="006950E4" w:rsidRPr="00315A25" w:rsidRDefault="006950E4" w:rsidP="006950E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B0F4" w14:textId="77777777" w:rsidR="006950E4" w:rsidRPr="00315A25" w:rsidRDefault="006950E4" w:rsidP="006950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96113" w14:textId="77777777" w:rsidR="006950E4" w:rsidRPr="00315A25" w:rsidRDefault="006950E4" w:rsidP="006950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E70C" w14:textId="77777777" w:rsidR="006950E4" w:rsidRPr="00315A25" w:rsidRDefault="006950E4" w:rsidP="006950E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5ACB2" w14:textId="2E8ABE64" w:rsidR="006950E4" w:rsidRPr="00315A25" w:rsidRDefault="006950E4" w:rsidP="006950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F35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F13BD" w14:textId="4DA297E7" w:rsidR="006950E4" w:rsidRPr="00315A25" w:rsidRDefault="006950E4" w:rsidP="006950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DF35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15A25" w:rsidRPr="00315A25" w14:paraId="6EC0C0CE" w14:textId="77777777" w:rsidTr="00315A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BC3E2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88A5" w14:textId="77777777" w:rsidR="00315A25" w:rsidRPr="00315A25" w:rsidRDefault="00315A25" w:rsidP="00315A2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1016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982.146,73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F647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4.124.775,30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2FD46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2.924.509,33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B4D74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297,77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51FA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70,90</w:t>
            </w:r>
          </w:p>
        </w:tc>
      </w:tr>
      <w:tr w:rsidR="00315A25" w:rsidRPr="00315A25" w14:paraId="6A4E717E" w14:textId="77777777" w:rsidTr="00315A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3B188A2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D39AF8" w14:textId="77777777" w:rsidR="00315A25" w:rsidRPr="00315A25" w:rsidRDefault="00315A25" w:rsidP="00315A2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CED207E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0045A1E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201EA4C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E861E54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46699D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15A25" w:rsidRPr="00315A25" w14:paraId="528DCD4A" w14:textId="77777777" w:rsidTr="00315A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4D739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877D" w14:textId="77777777" w:rsidR="00315A25" w:rsidRPr="00315A25" w:rsidRDefault="00315A25" w:rsidP="00315A2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A1D3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7E635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4ED3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F11C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98DB2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15A25" w:rsidRPr="00315A25" w14:paraId="28B465BB" w14:textId="77777777" w:rsidTr="00315A25">
        <w:trPr>
          <w:trHeight w:val="283"/>
          <w:jc w:val="center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vAlign w:val="center"/>
            <w:hideMark/>
          </w:tcPr>
          <w:p w14:paraId="250971BE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RASHODI/IZDACI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65D420A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15.127.450,40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BB666D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20.032.861,59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A5559E9" w14:textId="77777777" w:rsidR="00315A25" w:rsidRPr="00315A25" w:rsidRDefault="00315A25" w:rsidP="00315A2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16.416.709,29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767124A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108,52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8358823" w14:textId="77777777" w:rsidR="00315A25" w:rsidRPr="00315A25" w:rsidRDefault="00315A25" w:rsidP="00315A2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15A25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hr-HR"/>
              </w:rPr>
              <w:t>81,95</w:t>
            </w:r>
          </w:p>
        </w:tc>
      </w:tr>
    </w:tbl>
    <w:p w14:paraId="144E2C13" w14:textId="77777777" w:rsidR="008F627C" w:rsidRDefault="008F627C">
      <w:pPr>
        <w:spacing w:line="259" w:lineRule="auto"/>
      </w:pPr>
      <w:r>
        <w:br w:type="page"/>
      </w:r>
    </w:p>
    <w:p w14:paraId="747F8112" w14:textId="63F4179A" w:rsidR="00806016" w:rsidRPr="00945014" w:rsidRDefault="00806016" w:rsidP="00945014">
      <w:pPr>
        <w:pStyle w:val="Opisslike"/>
        <w:keepNext/>
        <w:spacing w:before="240" w:after="120"/>
        <w:ind w:left="1049" w:hanging="1049"/>
        <w:jc w:val="both"/>
        <w:rPr>
          <w:i w:val="0"/>
          <w:color w:val="1F3864" w:themeColor="accent1" w:themeShade="80"/>
          <w:sz w:val="22"/>
          <w:szCs w:val="22"/>
        </w:rPr>
      </w:pPr>
      <w:bookmarkStart w:id="34" w:name="_Toc224047151"/>
      <w:r w:rsidRPr="00985A03">
        <w:rPr>
          <w:i w:val="0"/>
          <w:color w:val="1F3864" w:themeColor="accent1" w:themeShade="80"/>
          <w:sz w:val="22"/>
        </w:rPr>
        <w:lastRenderedPageBreak/>
        <w:t xml:space="preserve">Grafikon </w:t>
      </w:r>
      <w:r w:rsidR="00333EA0">
        <w:rPr>
          <w:i w:val="0"/>
          <w:color w:val="1F3864" w:themeColor="accent1" w:themeShade="80"/>
          <w:sz w:val="22"/>
        </w:rPr>
        <w:fldChar w:fldCharType="begin"/>
      </w:r>
      <w:r w:rsidR="00333EA0">
        <w:rPr>
          <w:i w:val="0"/>
          <w:color w:val="1F3864" w:themeColor="accent1" w:themeShade="80"/>
          <w:sz w:val="22"/>
        </w:rPr>
        <w:instrText xml:space="preserve"> SEQ Grafikon \* ARABIC </w:instrText>
      </w:r>
      <w:r w:rsidR="00333EA0">
        <w:rPr>
          <w:i w:val="0"/>
          <w:color w:val="1F3864" w:themeColor="accent1" w:themeShade="80"/>
          <w:sz w:val="22"/>
        </w:rPr>
        <w:fldChar w:fldCharType="separate"/>
      </w:r>
      <w:r w:rsidR="00EC1B3D">
        <w:rPr>
          <w:i w:val="0"/>
          <w:noProof/>
          <w:color w:val="1F3864" w:themeColor="accent1" w:themeShade="80"/>
          <w:sz w:val="22"/>
        </w:rPr>
        <w:t>2</w:t>
      </w:r>
      <w:r w:rsidR="00333EA0">
        <w:rPr>
          <w:i w:val="0"/>
          <w:color w:val="1F3864" w:themeColor="accent1" w:themeShade="80"/>
          <w:sz w:val="22"/>
        </w:rPr>
        <w:fldChar w:fldCharType="end"/>
      </w:r>
      <w:r w:rsidR="00880D4A" w:rsidRPr="00985A03">
        <w:rPr>
          <w:i w:val="0"/>
          <w:color w:val="1F3864" w:themeColor="accent1" w:themeShade="80"/>
          <w:sz w:val="22"/>
        </w:rPr>
        <w:t>.</w:t>
      </w:r>
      <w:r w:rsidRPr="00985A03">
        <w:rPr>
          <w:i w:val="0"/>
          <w:color w:val="1F3864" w:themeColor="accent1" w:themeShade="80"/>
          <w:sz w:val="22"/>
        </w:rPr>
        <w:t xml:space="preserve"> </w:t>
      </w:r>
      <w:r w:rsidR="00335322" w:rsidRPr="00985A03">
        <w:rPr>
          <w:i w:val="0"/>
          <w:color w:val="1F3864" w:themeColor="accent1" w:themeShade="80"/>
          <w:sz w:val="22"/>
          <w:szCs w:val="22"/>
        </w:rPr>
        <w:t xml:space="preserve">Izvršenje rashoda i izdataka u </w:t>
      </w:r>
      <w:r w:rsidR="00AC7724" w:rsidRPr="00985A03">
        <w:rPr>
          <w:i w:val="0"/>
          <w:color w:val="1F3864" w:themeColor="accent1" w:themeShade="80"/>
          <w:sz w:val="22"/>
          <w:szCs w:val="22"/>
        </w:rPr>
        <w:t>202</w:t>
      </w:r>
      <w:r w:rsidR="00315A25">
        <w:rPr>
          <w:i w:val="0"/>
          <w:color w:val="1F3864" w:themeColor="accent1" w:themeShade="80"/>
          <w:sz w:val="22"/>
          <w:szCs w:val="22"/>
        </w:rPr>
        <w:t>5</w:t>
      </w:r>
      <w:r w:rsidR="00AC7724" w:rsidRPr="00985A03">
        <w:rPr>
          <w:i w:val="0"/>
          <w:color w:val="1F3864" w:themeColor="accent1" w:themeShade="80"/>
          <w:sz w:val="22"/>
          <w:szCs w:val="22"/>
        </w:rPr>
        <w:t>. godin</w:t>
      </w:r>
      <w:r w:rsidR="00335322" w:rsidRPr="00985A03">
        <w:rPr>
          <w:i w:val="0"/>
          <w:color w:val="1F3864" w:themeColor="accent1" w:themeShade="80"/>
          <w:sz w:val="22"/>
          <w:szCs w:val="22"/>
        </w:rPr>
        <w:t>i</w:t>
      </w:r>
      <w:r w:rsidR="00AC7724" w:rsidRPr="00985A03">
        <w:rPr>
          <w:i w:val="0"/>
          <w:color w:val="1F3864" w:themeColor="accent1" w:themeShade="80"/>
          <w:sz w:val="22"/>
          <w:szCs w:val="22"/>
        </w:rPr>
        <w:t xml:space="preserve"> s uspore</w:t>
      </w:r>
      <w:r w:rsidR="00335322" w:rsidRPr="00985A03">
        <w:rPr>
          <w:i w:val="0"/>
          <w:color w:val="1F3864" w:themeColor="accent1" w:themeShade="80"/>
          <w:sz w:val="22"/>
          <w:szCs w:val="22"/>
        </w:rPr>
        <w:t xml:space="preserve">dnim pokazateljima izvršenja u </w:t>
      </w:r>
      <w:r w:rsidR="00AC7724" w:rsidRPr="00985A03">
        <w:rPr>
          <w:i w:val="0"/>
          <w:color w:val="1F3864" w:themeColor="accent1" w:themeShade="80"/>
          <w:sz w:val="22"/>
          <w:szCs w:val="22"/>
        </w:rPr>
        <w:t>202</w:t>
      </w:r>
      <w:r w:rsidR="00315A25">
        <w:rPr>
          <w:i w:val="0"/>
          <w:color w:val="1F3864" w:themeColor="accent1" w:themeShade="80"/>
          <w:sz w:val="22"/>
          <w:szCs w:val="22"/>
        </w:rPr>
        <w:t>4</w:t>
      </w:r>
      <w:r w:rsidR="00AC7724" w:rsidRPr="00985A03">
        <w:rPr>
          <w:i w:val="0"/>
          <w:color w:val="1F3864" w:themeColor="accent1" w:themeShade="80"/>
          <w:sz w:val="22"/>
          <w:szCs w:val="22"/>
        </w:rPr>
        <w:t>. godin</w:t>
      </w:r>
      <w:r w:rsidR="00335322" w:rsidRPr="00985A03">
        <w:rPr>
          <w:i w:val="0"/>
          <w:color w:val="1F3864" w:themeColor="accent1" w:themeShade="80"/>
          <w:sz w:val="22"/>
          <w:szCs w:val="22"/>
        </w:rPr>
        <w:t>i</w:t>
      </w:r>
      <w:r w:rsidR="00005A64">
        <w:rPr>
          <w:i w:val="0"/>
          <w:color w:val="1F3864" w:themeColor="accent1" w:themeShade="80"/>
          <w:sz w:val="22"/>
          <w:szCs w:val="22"/>
        </w:rPr>
        <w:t xml:space="preserve"> </w:t>
      </w:r>
      <w:r w:rsidR="00315A25">
        <w:rPr>
          <w:i w:val="0"/>
          <w:color w:val="1F3864" w:themeColor="accent1" w:themeShade="80"/>
          <w:sz w:val="22"/>
          <w:szCs w:val="22"/>
        </w:rPr>
        <w:t>i izvornog plana za 2025</w:t>
      </w:r>
      <w:r w:rsidR="00005A64" w:rsidRPr="00945014">
        <w:rPr>
          <w:i w:val="0"/>
          <w:color w:val="1F3864" w:themeColor="accent1" w:themeShade="80"/>
          <w:sz w:val="22"/>
          <w:szCs w:val="22"/>
        </w:rPr>
        <w:t>. godin</w:t>
      </w:r>
      <w:r w:rsidR="00945014">
        <w:rPr>
          <w:i w:val="0"/>
          <w:color w:val="1F3864" w:themeColor="accent1" w:themeShade="80"/>
          <w:sz w:val="22"/>
          <w:szCs w:val="22"/>
        </w:rPr>
        <w:t>u</w:t>
      </w:r>
      <w:bookmarkEnd w:id="34"/>
    </w:p>
    <w:p w14:paraId="703CDB51" w14:textId="3268F16F" w:rsidR="003A78F3" w:rsidRDefault="00315A25" w:rsidP="00315A25">
      <w:pPr>
        <w:spacing w:after="0" w:line="240" w:lineRule="auto"/>
        <w:jc w:val="both"/>
      </w:pPr>
      <w:r>
        <w:rPr>
          <w:noProof/>
          <w:lang w:eastAsia="hr-HR"/>
        </w:rPr>
        <w:drawing>
          <wp:inline distT="0" distB="0" distL="0" distR="0" wp14:anchorId="7F02F408" wp14:editId="5B5E1B98">
            <wp:extent cx="6599208" cy="3599815"/>
            <wp:effectExtent l="0" t="0" r="11430" b="63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0F0773" w14:textId="77777777" w:rsidR="00D17105" w:rsidRDefault="00D17105" w:rsidP="00315A25">
      <w:pPr>
        <w:spacing w:after="0" w:line="240" w:lineRule="auto"/>
        <w:jc w:val="both"/>
      </w:pPr>
    </w:p>
    <w:p w14:paraId="36779E93" w14:textId="156D927F" w:rsidR="000B3A72" w:rsidRPr="00CD5B87" w:rsidRDefault="005F69E2" w:rsidP="00EC6EAF">
      <w:pPr>
        <w:pStyle w:val="Naslov4"/>
      </w:pPr>
      <w:bookmarkStart w:id="35" w:name="_Toc224047550"/>
      <w:r w:rsidRPr="00CD5B87">
        <w:t>RASHODI POSLOVANJA</w:t>
      </w:r>
      <w:bookmarkEnd w:id="35"/>
    </w:p>
    <w:p w14:paraId="1A40011F" w14:textId="43CBFB7D" w:rsidR="000B3A72" w:rsidRPr="00CD5B87" w:rsidRDefault="000B3A72" w:rsidP="00AE7BFC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Rashodi poslovanja pla</w:t>
      </w:r>
      <w:r w:rsidR="001E5D98">
        <w:rPr>
          <w:rFonts w:cstheme="minorHAnsi"/>
        </w:rPr>
        <w:t xml:space="preserve">nirani su u iznosu </w:t>
      </w:r>
      <w:r w:rsidR="00B61CEA">
        <w:rPr>
          <w:rFonts w:cstheme="minorHAnsi"/>
        </w:rPr>
        <w:t xml:space="preserve">od </w:t>
      </w:r>
      <w:r w:rsidR="00FD1D2B">
        <w:rPr>
          <w:rFonts w:cstheme="minorHAnsi"/>
        </w:rPr>
        <w:t>15.503.086,29</w:t>
      </w:r>
      <w:r w:rsidR="00D04194">
        <w:rPr>
          <w:rFonts w:cstheme="minorHAnsi"/>
        </w:rPr>
        <w:t xml:space="preserve"> eur</w:t>
      </w:r>
      <w:r w:rsidR="008D30EF">
        <w:rPr>
          <w:rFonts w:cstheme="minorHAnsi"/>
        </w:rPr>
        <w:t>a</w:t>
      </w:r>
      <w:r w:rsidRPr="00CD5B87">
        <w:rPr>
          <w:rFonts w:cstheme="minorHAnsi"/>
        </w:rPr>
        <w:t>, a izvršeni u izno</w:t>
      </w:r>
      <w:r w:rsidR="00B61CEA">
        <w:rPr>
          <w:rFonts w:cstheme="minorHAnsi"/>
        </w:rPr>
        <w:t xml:space="preserve">su od </w:t>
      </w:r>
      <w:r w:rsidR="00FD1D2B">
        <w:rPr>
          <w:rFonts w:cstheme="minorHAnsi"/>
        </w:rPr>
        <w:t>13.092.199,96</w:t>
      </w:r>
      <w:r w:rsidR="00D04194">
        <w:rPr>
          <w:rFonts w:cstheme="minorHAnsi"/>
        </w:rPr>
        <w:t xml:space="preserve"> eur</w:t>
      </w:r>
      <w:r w:rsidR="008D30EF">
        <w:rPr>
          <w:rFonts w:cstheme="minorHAnsi"/>
        </w:rPr>
        <w:t>a</w:t>
      </w:r>
      <w:r w:rsidR="00B61CEA">
        <w:rPr>
          <w:rFonts w:cstheme="minorHAnsi"/>
        </w:rPr>
        <w:t xml:space="preserve"> ili </w:t>
      </w:r>
      <w:r w:rsidR="00FD1D2B">
        <w:rPr>
          <w:rFonts w:cstheme="minorHAnsi"/>
        </w:rPr>
        <w:t>84,45</w:t>
      </w:r>
      <w:r w:rsidR="00880D4A">
        <w:rPr>
          <w:rFonts w:cstheme="minorHAnsi"/>
        </w:rPr>
        <w:t xml:space="preserve">% </w:t>
      </w:r>
      <w:r w:rsidRPr="00CD5B87">
        <w:rPr>
          <w:rFonts w:cstheme="minorHAnsi"/>
        </w:rPr>
        <w:t xml:space="preserve">godišnjeg </w:t>
      </w:r>
      <w:r w:rsidR="001E5D98">
        <w:rPr>
          <w:rFonts w:cstheme="minorHAnsi"/>
        </w:rPr>
        <w:t>plana što je</w:t>
      </w:r>
      <w:r w:rsidR="00B61CEA">
        <w:rPr>
          <w:rFonts w:cstheme="minorHAnsi"/>
        </w:rPr>
        <w:t xml:space="preserve"> za </w:t>
      </w:r>
      <w:r w:rsidR="00FD1D2B">
        <w:rPr>
          <w:rFonts w:cstheme="minorHAnsi"/>
        </w:rPr>
        <w:t>651.203,71</w:t>
      </w:r>
      <w:r w:rsidR="00D04194">
        <w:rPr>
          <w:rFonts w:cstheme="minorHAnsi"/>
        </w:rPr>
        <w:t xml:space="preserve"> eur</w:t>
      </w:r>
      <w:r w:rsidR="008D30EF">
        <w:rPr>
          <w:rFonts w:cstheme="minorHAnsi"/>
        </w:rPr>
        <w:t>a</w:t>
      </w:r>
      <w:r w:rsidR="004735B0">
        <w:rPr>
          <w:rFonts w:cstheme="minorHAnsi"/>
        </w:rPr>
        <w:t xml:space="preserve"> ili</w:t>
      </w:r>
      <w:r w:rsidR="00B61CEA">
        <w:rPr>
          <w:rFonts w:cstheme="minorHAnsi"/>
        </w:rPr>
        <w:t xml:space="preserve"> </w:t>
      </w:r>
      <w:r w:rsidR="00FD1D2B">
        <w:rPr>
          <w:rFonts w:cstheme="minorHAnsi"/>
        </w:rPr>
        <w:t>4,74</w:t>
      </w:r>
      <w:r w:rsidRPr="00CD5B87">
        <w:rPr>
          <w:rFonts w:cstheme="minorHAnsi"/>
        </w:rPr>
        <w:t xml:space="preserve">% </w:t>
      </w:r>
      <w:r w:rsidR="0047077A">
        <w:rPr>
          <w:rFonts w:cstheme="minorHAnsi"/>
        </w:rPr>
        <w:t>manje</w:t>
      </w:r>
      <w:r w:rsidRPr="00CD5B87">
        <w:rPr>
          <w:rFonts w:cstheme="minorHAnsi"/>
        </w:rPr>
        <w:t xml:space="preserve"> u odnosu na isto razdoblje prethodne godine.</w:t>
      </w:r>
    </w:p>
    <w:p w14:paraId="1F2AC958" w14:textId="36DB7241" w:rsidR="000B3A72" w:rsidRPr="00CD5B87" w:rsidRDefault="000B3A72" w:rsidP="00AE7BFC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Rashodi poslovanja odnose se na rashode za zaposlene, materijalne rashode, financijske rashode, pomoći dane unutar općeg proračuna i rashode</w:t>
      </w:r>
      <w:r w:rsidR="00D17105" w:rsidRPr="00D17105">
        <w:rPr>
          <w:rFonts w:cstheme="minorHAnsi"/>
        </w:rPr>
        <w:t xml:space="preserve"> </w:t>
      </w:r>
      <w:r w:rsidR="00D17105">
        <w:rPr>
          <w:rFonts w:cstheme="minorHAnsi"/>
        </w:rPr>
        <w:t xml:space="preserve">za </w:t>
      </w:r>
      <w:r w:rsidR="00D17105" w:rsidRPr="00CD5B87">
        <w:rPr>
          <w:rFonts w:cstheme="minorHAnsi"/>
        </w:rPr>
        <w:t>ostale</w:t>
      </w:r>
      <w:r w:rsidR="00D17105">
        <w:rPr>
          <w:rFonts w:cstheme="minorHAnsi"/>
        </w:rPr>
        <w:t xml:space="preserve"> naknade šteta pravnim i fizičkim osobama</w:t>
      </w:r>
      <w:r w:rsidRPr="00CD5B87">
        <w:rPr>
          <w:rFonts w:cstheme="minorHAnsi"/>
        </w:rPr>
        <w:t>.</w:t>
      </w:r>
    </w:p>
    <w:p w14:paraId="5308BA01" w14:textId="77777777" w:rsidR="000B3A72" w:rsidRPr="00CD5B87" w:rsidRDefault="000B3A72" w:rsidP="00AE7BFC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Pojedine vrste rashoda unutar rashoda poslovanja izvršene su kako slijedi:</w:t>
      </w:r>
    </w:p>
    <w:p w14:paraId="48B9E6E1" w14:textId="77777777" w:rsidR="000B3A72" w:rsidRPr="00CD5B87" w:rsidRDefault="000B3A72" w:rsidP="00AE7BFC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  <w:b/>
        </w:rPr>
        <w:t>Rashodi za zaposlene</w:t>
      </w:r>
    </w:p>
    <w:p w14:paraId="5571784B" w14:textId="7C426EF5" w:rsidR="000B3A72" w:rsidRDefault="00021CC3" w:rsidP="00AE7BFC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Rashodi za zaposlene </w:t>
      </w:r>
      <w:r w:rsidR="000B3A72" w:rsidRPr="00CD5B87">
        <w:rPr>
          <w:rFonts w:cstheme="minorHAnsi"/>
        </w:rPr>
        <w:t>i</w:t>
      </w:r>
      <w:r w:rsidR="00F0719E">
        <w:rPr>
          <w:rFonts w:cstheme="minorHAnsi"/>
        </w:rPr>
        <w:t xml:space="preserve">zvršeni su u iznosu </w:t>
      </w:r>
      <w:r w:rsidR="00B61CEA">
        <w:rPr>
          <w:rFonts w:cstheme="minorHAnsi"/>
        </w:rPr>
        <w:t xml:space="preserve">od </w:t>
      </w:r>
      <w:r w:rsidR="00FD1D2B">
        <w:rPr>
          <w:rFonts w:cstheme="minorHAnsi"/>
        </w:rPr>
        <w:t>901.371,48</w:t>
      </w:r>
      <w:r w:rsidR="00D04194">
        <w:rPr>
          <w:rFonts w:cstheme="minorHAnsi"/>
        </w:rPr>
        <w:t xml:space="preserve"> eur</w:t>
      </w:r>
      <w:r w:rsidR="0047077A">
        <w:rPr>
          <w:rFonts w:cstheme="minorHAnsi"/>
        </w:rPr>
        <w:t>a</w:t>
      </w:r>
      <w:r w:rsidR="00B61CEA">
        <w:rPr>
          <w:rFonts w:cstheme="minorHAnsi"/>
        </w:rPr>
        <w:t xml:space="preserve"> ili </w:t>
      </w:r>
      <w:r w:rsidR="00FD1D2B">
        <w:rPr>
          <w:rFonts w:cstheme="minorHAnsi"/>
        </w:rPr>
        <w:t>96,61</w:t>
      </w:r>
      <w:r w:rsidR="00B61CEA">
        <w:rPr>
          <w:rFonts w:cstheme="minorHAnsi"/>
        </w:rPr>
        <w:t xml:space="preserve">% godišnjeg plana, što je </w:t>
      </w:r>
      <w:r w:rsidR="00FD1D2B">
        <w:rPr>
          <w:rFonts w:cstheme="minorHAnsi"/>
        </w:rPr>
        <w:t>57,96</w:t>
      </w:r>
      <w:r w:rsidR="00B61CEA">
        <w:rPr>
          <w:rFonts w:cstheme="minorHAnsi"/>
        </w:rPr>
        <w:t>% više</w:t>
      </w:r>
      <w:r w:rsidR="000B3A72" w:rsidRPr="00CD5B87">
        <w:rPr>
          <w:rFonts w:cstheme="minorHAnsi"/>
        </w:rPr>
        <w:t xml:space="preserve"> u usporedbi s istim razdobljem prethodne godine. </w:t>
      </w:r>
      <w:r w:rsidR="00AB309D">
        <w:rPr>
          <w:rFonts w:cstheme="minorHAnsi"/>
        </w:rPr>
        <w:t>Rashodi za zaposlene obuhvaćaju plaće, doprinose na plaće i ostale rashode za zaposlene.</w:t>
      </w:r>
    </w:p>
    <w:p w14:paraId="6C047FD6" w14:textId="77777777" w:rsidR="00FD1D2B" w:rsidRDefault="00FD1D2B" w:rsidP="00AE7BFC">
      <w:pPr>
        <w:spacing w:before="120" w:after="120" w:line="240" w:lineRule="auto"/>
        <w:jc w:val="both"/>
        <w:rPr>
          <w:rFonts w:eastAsia="Times New Roman" w:cs="Calibri"/>
          <w:lang w:eastAsia="hr-HR"/>
        </w:rPr>
      </w:pPr>
      <w:r w:rsidRPr="00FD1D2B">
        <w:rPr>
          <w:rFonts w:eastAsia="Times New Roman" w:cs="Calibri"/>
          <w:lang w:eastAsia="hr-HR"/>
        </w:rPr>
        <w:t>Rashodi za plaće i doprinose na plaće povećali su se zbog povećanja osnovice za obračun plaće temeljem Odluke Županijske uprave za ceste Primorsko-goranske županije KLASA: 120-01/24-01/4, URBROJ: 2170-48-01/08-24-1 od 23. rujna 2024. godine. Člankom 5. Pravilnika o plaćama, naknadama plaća i drugim primanjima u Županijskoj upravi za ceste Primorsko-goranske županije (KLASA: 025-01/24-02/8, URBROJ: 2170-48-01/08-24-4 od 29. travnja 2024. godine) propisano je da osnovicu za izračun plaće utvrđuje Ravnatelj, uz prethodnu suglasnost Upravnog vijeća, a ista ne može biti veća od osnovice plaće osnivača. Dana 11. rujna 2024. godine Primorsko-goranska županija (osnivač Županijske uprave za ceste Primorsko-goranske županije) sklopila je sa Sindikatom državnih i lokalnih službenika i namještenika Republike Hrvatske i Sindikalnom podružnicom Primorsko-goranske županije Dodatak II. Kolektivnog ugovora za službenike i namještenike upravnih tijela Primorsko-goranske županije kojim je utvrđena osnovica plaće u visini od 950,00 eura koja se primjenjuje počevši od plaće za mjesec siječanj 2025. godine, a koja se isplaćuje u veljači 2025. godine. Rashodi za zaposlene povećali su se i radi izmjena i dopuna Pravilnika o porezu na dohodak („Narodne novine“, broj 16/2025) kojim je propisana viša stopa neoporezivih primitaka po osnovi naknada, potpora, nagrada, otpremnina i sl.</w:t>
      </w:r>
    </w:p>
    <w:p w14:paraId="09C8BDB9" w14:textId="2D5977B4" w:rsidR="00FD1D2B" w:rsidRDefault="00FD1D2B" w:rsidP="00AE7BFC">
      <w:pPr>
        <w:spacing w:before="120" w:after="120" w:line="240" w:lineRule="auto"/>
        <w:jc w:val="both"/>
        <w:rPr>
          <w:rFonts w:eastAsia="Times New Roman" w:cs="Calibri"/>
          <w:lang w:eastAsia="hr-HR"/>
        </w:rPr>
      </w:pPr>
      <w:r w:rsidRPr="00FD1D2B">
        <w:rPr>
          <w:rFonts w:eastAsia="Times New Roman" w:cs="Calibri"/>
          <w:lang w:eastAsia="hr-HR"/>
        </w:rPr>
        <w:lastRenderedPageBreak/>
        <w:t xml:space="preserve">Na povećanje rashoda za zaposlene utjecala je i isplata bruto plaće za period od 2016. do 2019. godine temeljem okončane sudske presude </w:t>
      </w:r>
      <w:proofErr w:type="spellStart"/>
      <w:r w:rsidRPr="00FD1D2B">
        <w:rPr>
          <w:rFonts w:eastAsia="Times New Roman" w:cs="Calibri"/>
          <w:lang w:eastAsia="hr-HR"/>
        </w:rPr>
        <w:t>Posl</w:t>
      </w:r>
      <w:proofErr w:type="spellEnd"/>
      <w:r w:rsidRPr="00FD1D2B">
        <w:rPr>
          <w:rFonts w:eastAsia="Times New Roman" w:cs="Calibri"/>
          <w:lang w:eastAsia="hr-HR"/>
        </w:rPr>
        <w:t xml:space="preserve">. br. Pr-433/2019-57 </w:t>
      </w:r>
      <w:r w:rsidR="00D64D48">
        <w:rPr>
          <w:rFonts w:eastAsia="Times New Roman" w:cs="Calibri"/>
          <w:lang w:eastAsia="hr-HR"/>
        </w:rPr>
        <w:t>(ukupan iznos isplaćene plaće s</w:t>
      </w:r>
      <w:r w:rsidRPr="00FD1D2B">
        <w:rPr>
          <w:rFonts w:eastAsia="Times New Roman" w:cs="Calibri"/>
          <w:lang w:eastAsia="hr-HR"/>
        </w:rPr>
        <w:t xml:space="preserve"> doprinosima iznosi 111.151,28 eura).</w:t>
      </w:r>
    </w:p>
    <w:p w14:paraId="3E58ED7D" w14:textId="225AB0A9" w:rsidR="000B3A72" w:rsidRDefault="000B3A72" w:rsidP="00AE7BFC">
      <w:pPr>
        <w:spacing w:before="120" w:after="120" w:line="240" w:lineRule="auto"/>
        <w:jc w:val="both"/>
        <w:rPr>
          <w:rFonts w:cstheme="minorHAnsi"/>
          <w:b/>
        </w:rPr>
      </w:pPr>
      <w:r w:rsidRPr="00CD5B87">
        <w:rPr>
          <w:rFonts w:cstheme="minorHAnsi"/>
          <w:b/>
        </w:rPr>
        <w:t>Materijalni rashodi</w:t>
      </w:r>
    </w:p>
    <w:p w14:paraId="5AD4F558" w14:textId="06115B37" w:rsidR="006E5A8B" w:rsidRDefault="006E5A8B" w:rsidP="00AE7BFC">
      <w:pPr>
        <w:widowControl w:val="0"/>
        <w:spacing w:before="120" w:after="120" w:line="240" w:lineRule="auto"/>
        <w:jc w:val="both"/>
        <w:rPr>
          <w:rFonts w:cstheme="minorHAnsi"/>
        </w:rPr>
      </w:pPr>
      <w:r w:rsidRPr="00FF4CD8">
        <w:rPr>
          <w:rFonts w:cstheme="minorHAnsi"/>
        </w:rPr>
        <w:t>Materijalni rashodi</w:t>
      </w:r>
      <w:r w:rsidRPr="00CD5B87">
        <w:rPr>
          <w:rFonts w:cstheme="minorHAnsi"/>
        </w:rPr>
        <w:t xml:space="preserve"> iz</w:t>
      </w:r>
      <w:r w:rsidR="00B61CEA">
        <w:rPr>
          <w:rFonts w:cstheme="minorHAnsi"/>
        </w:rPr>
        <w:t xml:space="preserve">vršeni su u iznosu od </w:t>
      </w:r>
      <w:r w:rsidR="00A47D6B">
        <w:rPr>
          <w:rFonts w:cstheme="minorHAnsi"/>
        </w:rPr>
        <w:t>11.281.347,93</w:t>
      </w:r>
      <w:r w:rsidR="00B61CEA">
        <w:rPr>
          <w:rFonts w:cstheme="minorHAnsi"/>
        </w:rPr>
        <w:t xml:space="preserve"> eur</w:t>
      </w:r>
      <w:r w:rsidR="0047077A">
        <w:rPr>
          <w:rFonts w:cstheme="minorHAnsi"/>
        </w:rPr>
        <w:t>a</w:t>
      </w:r>
      <w:r w:rsidR="00B61CEA">
        <w:rPr>
          <w:rFonts w:cstheme="minorHAnsi"/>
        </w:rPr>
        <w:t xml:space="preserve"> ili </w:t>
      </w:r>
      <w:r w:rsidR="00A47D6B">
        <w:rPr>
          <w:rFonts w:cstheme="minorHAnsi"/>
        </w:rPr>
        <w:t>83,53</w:t>
      </w:r>
      <w:r>
        <w:rPr>
          <w:rFonts w:cstheme="minorHAnsi"/>
        </w:rPr>
        <w:t>% godišnjeg plana, što</w:t>
      </w:r>
      <w:r w:rsidR="00B61CEA">
        <w:rPr>
          <w:rFonts w:cstheme="minorHAnsi"/>
        </w:rPr>
        <w:t xml:space="preserve"> je za </w:t>
      </w:r>
      <w:r w:rsidR="00A47D6B">
        <w:rPr>
          <w:rFonts w:cstheme="minorHAnsi"/>
        </w:rPr>
        <w:t>1.035.483,44</w:t>
      </w:r>
      <w:r w:rsidR="00D04194">
        <w:rPr>
          <w:rFonts w:cstheme="minorHAnsi"/>
        </w:rPr>
        <w:t xml:space="preserve"> eur</w:t>
      </w:r>
      <w:r w:rsidR="0047077A">
        <w:rPr>
          <w:rFonts w:cstheme="minorHAnsi"/>
        </w:rPr>
        <w:t>a</w:t>
      </w:r>
      <w:r w:rsidR="00B61CEA">
        <w:rPr>
          <w:rFonts w:cstheme="minorHAnsi"/>
        </w:rPr>
        <w:t xml:space="preserve"> ili za </w:t>
      </w:r>
      <w:r w:rsidR="00A47D6B">
        <w:rPr>
          <w:rFonts w:cstheme="minorHAnsi"/>
        </w:rPr>
        <w:t>8,41</w:t>
      </w:r>
      <w:r w:rsidRPr="00CD5B87">
        <w:rPr>
          <w:rFonts w:cstheme="minorHAnsi"/>
        </w:rPr>
        <w:t xml:space="preserve">% </w:t>
      </w:r>
      <w:r w:rsidR="0047077A">
        <w:rPr>
          <w:rFonts w:cstheme="minorHAnsi"/>
        </w:rPr>
        <w:t>manje</w:t>
      </w:r>
      <w:r w:rsidRPr="00CD5B87">
        <w:rPr>
          <w:rFonts w:cstheme="minorHAnsi"/>
        </w:rPr>
        <w:t xml:space="preserve"> u usporedbi s istim razdobljem prethodne godine.</w:t>
      </w:r>
    </w:p>
    <w:p w14:paraId="321E7069" w14:textId="41848ED7" w:rsidR="006E5A8B" w:rsidRDefault="006E5A8B" w:rsidP="00AE7BFC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 </w:t>
      </w:r>
      <w:r w:rsidR="00D04194">
        <w:rPr>
          <w:rFonts w:cstheme="minorHAnsi"/>
        </w:rPr>
        <w:t>T</w:t>
      </w:r>
      <w:r w:rsidR="00657C6A">
        <w:rPr>
          <w:rFonts w:cstheme="minorHAnsi"/>
        </w:rPr>
        <w:t>ablici 6. koja slijedi prikazani su izvršeni</w:t>
      </w:r>
      <w:r w:rsidRPr="00CD5B87">
        <w:rPr>
          <w:rFonts w:cstheme="minorHAnsi"/>
        </w:rPr>
        <w:t xml:space="preserve"> </w:t>
      </w:r>
      <w:r>
        <w:rPr>
          <w:rFonts w:cstheme="minorHAnsi"/>
        </w:rPr>
        <w:t>materijalni</w:t>
      </w:r>
      <w:r w:rsidR="00657C6A">
        <w:rPr>
          <w:rFonts w:cstheme="minorHAnsi"/>
        </w:rPr>
        <w:t xml:space="preserve"> rashodi</w:t>
      </w:r>
      <w:r>
        <w:rPr>
          <w:rFonts w:cstheme="minorHAnsi"/>
        </w:rPr>
        <w:t xml:space="preserve"> </w:t>
      </w:r>
      <w:r w:rsidRPr="00CD5B87">
        <w:rPr>
          <w:rFonts w:cstheme="minorHAnsi"/>
        </w:rPr>
        <w:t>Županijske uprave za ceste</w:t>
      </w:r>
      <w:r w:rsidR="00154FAB">
        <w:rPr>
          <w:rFonts w:cstheme="minorHAnsi"/>
        </w:rPr>
        <w:t xml:space="preserve"> Primorsko-goranske županije u </w:t>
      </w:r>
      <w:r w:rsidRPr="00CD5B87">
        <w:rPr>
          <w:rFonts w:cstheme="minorHAnsi"/>
        </w:rPr>
        <w:t>202</w:t>
      </w:r>
      <w:r w:rsidR="00A47D6B">
        <w:rPr>
          <w:rFonts w:cstheme="minorHAnsi"/>
        </w:rPr>
        <w:t>5</w:t>
      </w:r>
      <w:r w:rsidRPr="00CD5B87">
        <w:rPr>
          <w:rFonts w:cstheme="minorHAnsi"/>
        </w:rPr>
        <w:t>. godin</w:t>
      </w:r>
      <w:r w:rsidR="00154FAB">
        <w:rPr>
          <w:rFonts w:cstheme="minorHAnsi"/>
        </w:rPr>
        <w:t>i</w:t>
      </w:r>
      <w:r w:rsidRPr="00CD5B87">
        <w:rPr>
          <w:rFonts w:cstheme="minorHAnsi"/>
        </w:rPr>
        <w:t xml:space="preserve"> s usp</w:t>
      </w:r>
      <w:r>
        <w:rPr>
          <w:rFonts w:cstheme="minorHAnsi"/>
        </w:rPr>
        <w:t>orednim pokazateljima izvršenja</w:t>
      </w:r>
      <w:r w:rsidRPr="00CD5B87">
        <w:rPr>
          <w:rFonts w:cstheme="minorHAnsi"/>
        </w:rPr>
        <w:t xml:space="preserve"> u 202</w:t>
      </w:r>
      <w:r w:rsidR="00A47D6B">
        <w:rPr>
          <w:rFonts w:cstheme="minorHAnsi"/>
        </w:rPr>
        <w:t>4</w:t>
      </w:r>
      <w:r>
        <w:rPr>
          <w:rFonts w:cstheme="minorHAnsi"/>
        </w:rPr>
        <w:t>. godin</w:t>
      </w:r>
      <w:r w:rsidR="00154FAB">
        <w:rPr>
          <w:rFonts w:cstheme="minorHAnsi"/>
        </w:rPr>
        <w:t>i</w:t>
      </w:r>
      <w:r w:rsidR="00D64D48">
        <w:rPr>
          <w:rFonts w:cstheme="minorHAnsi"/>
        </w:rPr>
        <w:t xml:space="preserve"> </w:t>
      </w:r>
      <w:r w:rsidR="00D64D48" w:rsidRPr="00D17105">
        <w:rPr>
          <w:rFonts w:cstheme="minorHAnsi"/>
        </w:rPr>
        <w:t>i izvornog plana za 2025. godinu</w:t>
      </w:r>
      <w:r>
        <w:rPr>
          <w:rFonts w:cstheme="minorHAnsi"/>
        </w:rPr>
        <w:t>.</w:t>
      </w:r>
    </w:p>
    <w:p w14:paraId="3F904E8A" w14:textId="38B2F32D" w:rsidR="00A8104D" w:rsidRPr="00F8051A" w:rsidRDefault="00A8104D" w:rsidP="00D64D48">
      <w:pPr>
        <w:pStyle w:val="Opisslike"/>
        <w:keepNext/>
        <w:spacing w:after="120"/>
        <w:ind w:left="907" w:hanging="907"/>
        <w:rPr>
          <w:i w:val="0"/>
          <w:color w:val="222A35" w:themeColor="text2" w:themeShade="80"/>
          <w:sz w:val="22"/>
          <w:szCs w:val="22"/>
        </w:rPr>
      </w:pPr>
      <w:bookmarkStart w:id="36" w:name="_Toc109651260"/>
      <w:bookmarkStart w:id="37" w:name="_Toc224047006"/>
      <w:r w:rsidRPr="00F8051A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begin"/>
      </w:r>
      <w:r w:rsidRPr="00F8051A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F8051A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6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end"/>
      </w:r>
      <w:r w:rsidRPr="00F8051A">
        <w:rPr>
          <w:i w:val="0"/>
          <w:color w:val="222A35" w:themeColor="text2" w:themeShade="80"/>
          <w:sz w:val="22"/>
          <w:szCs w:val="22"/>
        </w:rPr>
        <w:t>. Iz</w:t>
      </w:r>
      <w:r w:rsidR="00D10C51">
        <w:rPr>
          <w:i w:val="0"/>
          <w:color w:val="222A35" w:themeColor="text2" w:themeShade="80"/>
          <w:sz w:val="22"/>
          <w:szCs w:val="22"/>
        </w:rPr>
        <w:t xml:space="preserve">vršenje materijalnih rashoda u </w:t>
      </w:r>
      <w:r w:rsidRPr="00F8051A">
        <w:rPr>
          <w:i w:val="0"/>
          <w:color w:val="222A35" w:themeColor="text2" w:themeShade="80"/>
          <w:sz w:val="22"/>
          <w:szCs w:val="22"/>
        </w:rPr>
        <w:t>202</w:t>
      </w:r>
      <w:r w:rsidR="003C035D">
        <w:rPr>
          <w:i w:val="0"/>
          <w:color w:val="222A35" w:themeColor="text2" w:themeShade="80"/>
          <w:sz w:val="22"/>
          <w:szCs w:val="22"/>
        </w:rPr>
        <w:t>5</w:t>
      </w:r>
      <w:r w:rsidR="00D10C51">
        <w:rPr>
          <w:i w:val="0"/>
          <w:color w:val="222A35" w:themeColor="text2" w:themeShade="80"/>
          <w:sz w:val="22"/>
          <w:szCs w:val="22"/>
        </w:rPr>
        <w:t>. godini</w:t>
      </w:r>
      <w:r w:rsidRPr="00F8051A">
        <w:rPr>
          <w:i w:val="0"/>
          <w:color w:val="222A35" w:themeColor="text2" w:themeShade="80"/>
          <w:sz w:val="22"/>
          <w:szCs w:val="22"/>
        </w:rPr>
        <w:t xml:space="preserve"> s uspore</w:t>
      </w:r>
      <w:r w:rsidR="00D10C51">
        <w:rPr>
          <w:i w:val="0"/>
          <w:color w:val="222A35" w:themeColor="text2" w:themeShade="80"/>
          <w:sz w:val="22"/>
          <w:szCs w:val="22"/>
        </w:rPr>
        <w:t xml:space="preserve">dnim pokazateljima izvršenja u </w:t>
      </w:r>
      <w:r w:rsidRPr="00F8051A">
        <w:rPr>
          <w:i w:val="0"/>
          <w:color w:val="222A35" w:themeColor="text2" w:themeShade="80"/>
          <w:sz w:val="22"/>
          <w:szCs w:val="22"/>
        </w:rPr>
        <w:t>202</w:t>
      </w:r>
      <w:r w:rsidR="003C035D">
        <w:rPr>
          <w:i w:val="0"/>
          <w:color w:val="222A35" w:themeColor="text2" w:themeShade="80"/>
          <w:sz w:val="22"/>
          <w:szCs w:val="22"/>
        </w:rPr>
        <w:t>4</w:t>
      </w:r>
      <w:r w:rsidRPr="00F8051A">
        <w:rPr>
          <w:i w:val="0"/>
          <w:color w:val="222A35" w:themeColor="text2" w:themeShade="80"/>
          <w:sz w:val="22"/>
          <w:szCs w:val="22"/>
        </w:rPr>
        <w:t>. godin</w:t>
      </w:r>
      <w:bookmarkEnd w:id="36"/>
      <w:r w:rsidR="00D10C51">
        <w:rPr>
          <w:i w:val="0"/>
          <w:color w:val="222A35" w:themeColor="text2" w:themeShade="80"/>
          <w:sz w:val="22"/>
          <w:szCs w:val="22"/>
        </w:rPr>
        <w:t>i</w:t>
      </w:r>
      <w:r w:rsidR="00D64D48" w:rsidRPr="00D64D48">
        <w:rPr>
          <w:rFonts w:cstheme="minorHAnsi"/>
          <w:i w:val="0"/>
          <w:color w:val="222A35" w:themeColor="text2" w:themeShade="80"/>
          <w:sz w:val="22"/>
          <w:szCs w:val="22"/>
        </w:rPr>
        <w:t xml:space="preserve"> </w:t>
      </w:r>
      <w:r w:rsidR="00D64D48">
        <w:rPr>
          <w:rFonts w:cstheme="minorHAnsi"/>
          <w:i w:val="0"/>
          <w:color w:val="222A35" w:themeColor="text2" w:themeShade="80"/>
          <w:sz w:val="22"/>
          <w:szCs w:val="22"/>
        </w:rPr>
        <w:t>i izvornog plana za 2025. godinu</w:t>
      </w:r>
      <w:bookmarkEnd w:id="37"/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3402"/>
        <w:gridCol w:w="1276"/>
        <w:gridCol w:w="1276"/>
        <w:gridCol w:w="1276"/>
        <w:gridCol w:w="850"/>
        <w:gridCol w:w="846"/>
      </w:tblGrid>
      <w:tr w:rsidR="003C035D" w:rsidRPr="003C035D" w14:paraId="63B1780C" w14:textId="77777777" w:rsidTr="00D64D48">
        <w:trPr>
          <w:trHeight w:val="480"/>
          <w:tblHeader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9CA8EE" w14:textId="77777777" w:rsidR="003C035D" w:rsidRPr="00D64D48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64D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Brojčana </w:t>
            </w:r>
            <w:r w:rsidRPr="00D64D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r-HR"/>
              </w:rPr>
              <w:br/>
              <w:t>oznaka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097346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Naziv računa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9822D7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7D66D9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</w:t>
            </w: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DF7D60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D9D751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5./3. 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26199D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5./4. </w:t>
            </w:r>
          </w:p>
        </w:tc>
      </w:tr>
      <w:tr w:rsidR="003C035D" w:rsidRPr="003C035D" w14:paraId="436E1602" w14:textId="77777777" w:rsidTr="00D64D48">
        <w:trPr>
          <w:trHeight w:val="240"/>
          <w:tblHeader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57404C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4A7893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009EDA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DB1059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0F099D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F0995D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3849A6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</w:tr>
      <w:tr w:rsidR="003C035D" w:rsidRPr="003C035D" w14:paraId="11E48418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F271C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C5BF4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Naknade troškova zaposlenima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06000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21.234,78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E15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1AC6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33.456,40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3EDCE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157,55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C370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98,40</w:t>
            </w:r>
          </w:p>
        </w:tc>
      </w:tr>
      <w:tr w:rsidR="003C035D" w:rsidRPr="003C035D" w14:paraId="67A7F594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C4F7C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F575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23FD3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5.152,23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75F0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474CA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6C49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135,86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3EC96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C035D" w:rsidRPr="003C035D" w14:paraId="29F92870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52CB9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175A5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Naknade za prijevoz, za rad na terenu i odvojeni život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B1CE0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11.683,81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805C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C3219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16.523,40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D068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141,42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A123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97,20</w:t>
            </w:r>
          </w:p>
        </w:tc>
      </w:tr>
      <w:tr w:rsidR="003C035D" w:rsidRPr="003C035D" w14:paraId="78B68902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11878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48DE3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Stručno usavršavanje zaposlenika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EC39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4.398,74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075F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97FC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9.933,00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87B89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225,81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FA3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99,33</w:t>
            </w:r>
          </w:p>
        </w:tc>
      </w:tr>
      <w:tr w:rsidR="003C035D" w:rsidRPr="003C035D" w14:paraId="6B23374E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3160E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1C22C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Rashodi za materijal i energiju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2D679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24.546,42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9430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35.500,00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399B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24.283,32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C64EF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0DCC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68,40</w:t>
            </w:r>
          </w:p>
        </w:tc>
      </w:tr>
      <w:tr w:rsidR="003C035D" w:rsidRPr="003C035D" w14:paraId="07CC95BF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D9044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44DF4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Uredski materijal i ostali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F6DE5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9.191,80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7C561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BF63F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9.170,43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D130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F37A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68,44</w:t>
            </w:r>
          </w:p>
        </w:tc>
      </w:tr>
      <w:tr w:rsidR="003C035D" w:rsidRPr="003C035D" w14:paraId="113ECA23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96EC4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3FC0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Energija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8DD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12.090,57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2D93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37BE7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13.188,61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28DA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109,08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2E87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70,91</w:t>
            </w:r>
          </w:p>
        </w:tc>
      </w:tr>
      <w:tr w:rsidR="003C035D" w:rsidRPr="003C035D" w14:paraId="34A81294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D5311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88F6A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Materijal i dijelovi za tekuće i investicijsko održavanje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29FFC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0758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9232A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F6C6" w14:textId="0063D82E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695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CEB6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0,56</w:t>
            </w:r>
          </w:p>
        </w:tc>
      </w:tr>
      <w:tr w:rsidR="003C035D" w:rsidRPr="003C035D" w14:paraId="4AFF126D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D9846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78D79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Sitni inventar i auto gume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1ED8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3.264,05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0DAC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6B1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1.921,49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0D82C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58,87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FE21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64,05</w:t>
            </w:r>
          </w:p>
        </w:tc>
      </w:tr>
      <w:tr w:rsidR="003C035D" w:rsidRPr="003C035D" w14:paraId="711B0922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2C2A7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25F73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Rashodi za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4B65D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12.232.544,13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4E3BB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13.367.706,20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3D85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11.176.152,58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072F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91,36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772E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83,61</w:t>
            </w:r>
          </w:p>
        </w:tc>
      </w:tr>
      <w:tr w:rsidR="003C035D" w:rsidRPr="003C035D" w14:paraId="3934D147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A4D12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7ECA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Usluge telefona, interneta, pošte i prijevoza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B74B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9.909,50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37CA8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0CA7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10.821,71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316A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109,21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AC0B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95,77</w:t>
            </w:r>
          </w:p>
        </w:tc>
      </w:tr>
      <w:tr w:rsidR="003C035D" w:rsidRPr="003C035D" w14:paraId="0621D8D9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D5BDF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5400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Usluge tekućeg i investicijskog održavanja - sveukupno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5639C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11.732.571,68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28D1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12.786.376,20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CF4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10.646.450,76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286A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90,74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833A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83,26</w:t>
            </w:r>
          </w:p>
        </w:tc>
      </w:tr>
      <w:tr w:rsidR="003C035D" w:rsidRPr="003C035D" w14:paraId="58486E1D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8AE22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32321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D3C20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Usluge tekućeg i investicijskog održavanja prijevoznih sredstava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4F13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9.700,31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4F4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3A27F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7.526,86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9DDB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77,59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DAB7B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94,09</w:t>
            </w:r>
          </w:p>
        </w:tc>
      </w:tr>
      <w:tr w:rsidR="003C035D" w:rsidRPr="003C035D" w14:paraId="6ADDF08E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545F8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32321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A2976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Usluge tekućeg i investicijskog održavanja kompjutera, printera i multifunkcijskih uređaja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8322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7.253,96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4A570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6.850,00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9DB7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6.747,68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6221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93,02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74E26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98,51</w:t>
            </w:r>
          </w:p>
        </w:tc>
      </w:tr>
      <w:tr w:rsidR="003C035D" w:rsidRPr="003C035D" w14:paraId="017D5370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265F4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32321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30E8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Usluge tekućeg i investicijskog održavanja ostali uređaji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2A5E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1.260,28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3C2E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E76FE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1.567,72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D6A5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124,39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2791F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78,39</w:t>
            </w:r>
          </w:p>
        </w:tc>
      </w:tr>
      <w:tr w:rsidR="003C035D" w:rsidRPr="003C035D" w14:paraId="087B0CDA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69381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32321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8EF5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Usluge tekućeg i investicijskog održavanja uredskih prostorija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A432B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F8D56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BF01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5945C" w14:textId="4A777EDD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695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93ECE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C035D" w:rsidRPr="003C035D" w14:paraId="3ADBD813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8BA85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32321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86A6B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Usluge tekućeg i investicijskog održavanja cesta - redovito održavanje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74623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6.369.222,54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A08E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6.894.900,01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3A88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6.697.877,27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8502B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105,16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5685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97,14</w:t>
            </w:r>
          </w:p>
        </w:tc>
      </w:tr>
      <w:tr w:rsidR="003C035D" w:rsidRPr="003C035D" w14:paraId="2900DC4A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D2DBE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32321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92FC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Usluge tekućeg i investicijskog održavanja cesta - izvanredno održavanje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B9E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5.345.134,59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52D8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5.872.126,19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FB57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3.930.231,23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C0E65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73,53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3813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>66,93</w:t>
            </w:r>
          </w:p>
        </w:tc>
      </w:tr>
      <w:tr w:rsidR="003C035D" w:rsidRPr="003C035D" w14:paraId="32611F32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FBCE1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DCDD7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Usluge promidžbe i informiranja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EA399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31.435,34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6ED09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34.705,00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064E9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29.817,37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152F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94,85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A46A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85,92</w:t>
            </w:r>
          </w:p>
        </w:tc>
      </w:tr>
      <w:tr w:rsidR="003C035D" w:rsidRPr="003C035D" w14:paraId="5D7A5CF3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68CD7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5FF7A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Komunalne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D053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73.090,14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2D44B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740C7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71.468,69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CBC3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1DDE5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89,34</w:t>
            </w:r>
          </w:p>
        </w:tc>
      </w:tr>
      <w:tr w:rsidR="003C035D" w:rsidRPr="003C035D" w14:paraId="0AB13FD7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CD069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428D5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Zakupnine i najamnine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414E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7.308,03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2395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C13B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16.054,97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AD7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219,69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293F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94,44</w:t>
            </w:r>
          </w:p>
        </w:tc>
      </w:tr>
      <w:tr w:rsidR="003C035D" w:rsidRPr="003C035D" w14:paraId="29B420D4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AC870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84667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Zdravstvene i veterinarske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D5D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FBE1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FED15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5.851,00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732B2" w14:textId="654AC491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softHyphen/>
            </w:r>
            <w:r w:rsidR="006950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9801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97,52</w:t>
            </w:r>
          </w:p>
        </w:tc>
      </w:tr>
      <w:tr w:rsidR="003C035D" w:rsidRPr="003C035D" w14:paraId="2515EEDB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C1CE9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03D1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Intelektualne i osobne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5356E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92.152,45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81E6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70C39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98.808,84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CE556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107,22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ED2E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89,02</w:t>
            </w:r>
          </w:p>
        </w:tc>
      </w:tr>
      <w:tr w:rsidR="003C035D" w:rsidRPr="003C035D" w14:paraId="4A867739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905AC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B8794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Računalne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D086A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27.069,07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8A792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15670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32.195,36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150D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118,94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A720F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87,01</w:t>
            </w:r>
          </w:p>
        </w:tc>
      </w:tr>
      <w:tr w:rsidR="003C035D" w:rsidRPr="003C035D" w14:paraId="1A4FE0EC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8B461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AB94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Ostale usluge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F2B66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259.007,92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D1B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284.325,00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9C4BA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264.683,88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CE15A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DDBA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93,09</w:t>
            </w:r>
          </w:p>
        </w:tc>
      </w:tr>
      <w:tr w:rsidR="003C035D" w:rsidRPr="003C035D" w14:paraId="47710B83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48D03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664F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BC3B5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38.506,04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FDCE3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68.717,13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93C1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47.455,63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4229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123,24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D9B6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69,06</w:t>
            </w:r>
          </w:p>
        </w:tc>
      </w:tr>
      <w:tr w:rsidR="003C035D" w:rsidRPr="003C035D" w14:paraId="7306C7F7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37CD3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89B7F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1FBD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6.233,56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963D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7050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5.633,98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971D9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90,38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161EF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85,36</w:t>
            </w:r>
          </w:p>
        </w:tc>
      </w:tr>
      <w:tr w:rsidR="003C035D" w:rsidRPr="003C035D" w14:paraId="75D54249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24D22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FBAD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Premije osiguranja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EC05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9.212,15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F634C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10.156,20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083D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7.459,71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5FDBF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80,98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496AD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73,45</w:t>
            </w:r>
          </w:p>
        </w:tc>
      </w:tr>
      <w:tr w:rsidR="003C035D" w:rsidRPr="003C035D" w14:paraId="16DF1DC4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CE9C0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3293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2EB6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Reprezentacija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CCC4B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5.526,48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1A5D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E0F57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5.932,96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F673B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107,36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0832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84,76</w:t>
            </w:r>
          </w:p>
        </w:tc>
      </w:tr>
      <w:tr w:rsidR="003C035D" w:rsidRPr="003C035D" w14:paraId="0FF5B1D6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59324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82A1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Članarine i norme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16F5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9.987,57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77EE2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81B1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8.928,58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B11C2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89,40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50AA1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99,21</w:t>
            </w:r>
          </w:p>
        </w:tc>
      </w:tr>
      <w:tr w:rsidR="003C035D" w:rsidRPr="003C035D" w14:paraId="7708FF1E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40F12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30573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Pristojbe i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4D370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02E2D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860EB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4.543,63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F8DA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150,97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9A919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75,73</w:t>
            </w:r>
          </w:p>
        </w:tc>
      </w:tr>
      <w:tr w:rsidR="003C035D" w:rsidRPr="003C035D" w14:paraId="37F572EC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01657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C592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Troškovi sudskih postupaka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5432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1.464,04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FDA0F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25.960,93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2766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10.960,93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4580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748,68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2A58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42,22</w:t>
            </w:r>
          </w:p>
        </w:tc>
      </w:tr>
      <w:tr w:rsidR="003C035D" w:rsidRPr="003C035D" w14:paraId="33F5FC47" w14:textId="77777777" w:rsidTr="00D64D48">
        <w:trPr>
          <w:trHeight w:val="28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6925D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9D054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Ostali nespomenuti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F87C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3.072,58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EA24F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594E2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3.995,84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D4FF5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130,05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4A23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99,90</w:t>
            </w:r>
          </w:p>
        </w:tc>
      </w:tr>
      <w:tr w:rsidR="003C035D" w:rsidRPr="003C035D" w14:paraId="2564EA38" w14:textId="77777777" w:rsidTr="00D64D48">
        <w:trPr>
          <w:trHeight w:val="283"/>
          <w:jc w:val="center"/>
        </w:trPr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7EDC0848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MATERIJALNI RASHODI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369FDA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12.316.831,37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9F4509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13.505.923,33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28581E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11.281.347,93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C93576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91,59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14E367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83,53</w:t>
            </w:r>
          </w:p>
        </w:tc>
      </w:tr>
    </w:tbl>
    <w:p w14:paraId="298E9887" w14:textId="2FBC9F91" w:rsidR="000B3A72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Materijalni rashodi odnose se na rashode </w:t>
      </w:r>
      <w:r w:rsidR="00657C6A">
        <w:rPr>
          <w:rFonts w:cstheme="minorHAnsi"/>
        </w:rPr>
        <w:t xml:space="preserve">za usluge u iznosu od </w:t>
      </w:r>
      <w:r w:rsidR="00A47D6B">
        <w:rPr>
          <w:rFonts w:cstheme="minorHAnsi"/>
        </w:rPr>
        <w:t>11.176.152,58</w:t>
      </w:r>
      <w:r w:rsidR="00766C21">
        <w:rPr>
          <w:rFonts w:cstheme="minorHAnsi"/>
        </w:rPr>
        <w:t xml:space="preserve"> eur</w:t>
      </w:r>
      <w:r w:rsidR="00400426">
        <w:rPr>
          <w:rFonts w:cstheme="minorHAnsi"/>
        </w:rPr>
        <w:t>a</w:t>
      </w:r>
      <w:r w:rsidRPr="00CD5B87">
        <w:rPr>
          <w:rFonts w:cstheme="minorHAnsi"/>
        </w:rPr>
        <w:t xml:space="preserve">, </w:t>
      </w:r>
      <w:r w:rsidR="00B33DB6">
        <w:rPr>
          <w:rFonts w:cstheme="minorHAnsi"/>
        </w:rPr>
        <w:t xml:space="preserve">naknade troškova zaposlenima </w:t>
      </w:r>
      <w:r w:rsidR="00657C6A">
        <w:rPr>
          <w:rFonts w:cstheme="minorHAnsi"/>
        </w:rPr>
        <w:t xml:space="preserve">u iznosu od </w:t>
      </w:r>
      <w:r w:rsidR="00A47D6B">
        <w:rPr>
          <w:rFonts w:cstheme="minorHAnsi"/>
        </w:rPr>
        <w:t>33</w:t>
      </w:r>
      <w:r w:rsidR="00592415">
        <w:rPr>
          <w:rFonts w:cstheme="minorHAnsi"/>
        </w:rPr>
        <w:t>.456,40 eura</w:t>
      </w:r>
      <w:r w:rsidR="00657C6A">
        <w:rPr>
          <w:rFonts w:cstheme="minorHAnsi"/>
        </w:rPr>
        <w:t xml:space="preserve">, </w:t>
      </w:r>
      <w:r w:rsidR="00B33DB6">
        <w:rPr>
          <w:rFonts w:cstheme="minorHAnsi"/>
        </w:rPr>
        <w:t xml:space="preserve">rashode </w:t>
      </w:r>
      <w:r w:rsidR="00B33DB6" w:rsidRPr="00CD5B87">
        <w:rPr>
          <w:rFonts w:cstheme="minorHAnsi"/>
        </w:rPr>
        <w:t>za materija</w:t>
      </w:r>
      <w:r w:rsidR="00B33DB6">
        <w:rPr>
          <w:rFonts w:cstheme="minorHAnsi"/>
        </w:rPr>
        <w:t>l i energiju u iznosu od 24.283,32 eura</w:t>
      </w:r>
      <w:r w:rsidR="00B33DB6" w:rsidRPr="00CD5B87">
        <w:rPr>
          <w:rFonts w:cstheme="minorHAnsi"/>
        </w:rPr>
        <w:t>,</w:t>
      </w:r>
      <w:r w:rsidR="00B33DB6">
        <w:rPr>
          <w:rFonts w:cstheme="minorHAnsi"/>
        </w:rPr>
        <w:t xml:space="preserve"> </w:t>
      </w:r>
      <w:r w:rsidRPr="00CD5B87">
        <w:rPr>
          <w:rFonts w:cstheme="minorHAnsi"/>
        </w:rPr>
        <w:t xml:space="preserve">te ostale </w:t>
      </w:r>
      <w:r w:rsidR="00592415">
        <w:rPr>
          <w:rFonts w:cstheme="minorHAnsi"/>
        </w:rPr>
        <w:t xml:space="preserve">nespomenute </w:t>
      </w:r>
      <w:r w:rsidRPr="00CD5B87">
        <w:rPr>
          <w:rFonts w:cstheme="minorHAnsi"/>
        </w:rPr>
        <w:t>rashod</w:t>
      </w:r>
      <w:r w:rsidR="0007331A">
        <w:rPr>
          <w:rFonts w:cstheme="minorHAnsi"/>
        </w:rPr>
        <w:t>e poslovanja u iznosu</w:t>
      </w:r>
      <w:r w:rsidR="00657C6A">
        <w:rPr>
          <w:rFonts w:cstheme="minorHAnsi"/>
        </w:rPr>
        <w:t xml:space="preserve"> od </w:t>
      </w:r>
      <w:r w:rsidR="00592415">
        <w:rPr>
          <w:rFonts w:cstheme="minorHAnsi"/>
        </w:rPr>
        <w:t>47.455,63</w:t>
      </w:r>
      <w:r w:rsidR="00766C21">
        <w:rPr>
          <w:rFonts w:cstheme="minorHAnsi"/>
        </w:rPr>
        <w:t xml:space="preserve"> eur</w:t>
      </w:r>
      <w:r w:rsidR="00400426">
        <w:rPr>
          <w:rFonts w:cstheme="minorHAnsi"/>
        </w:rPr>
        <w:t>a</w:t>
      </w:r>
      <w:r w:rsidR="00657C6A">
        <w:rPr>
          <w:rFonts w:cstheme="minorHAnsi"/>
        </w:rPr>
        <w:t>.</w:t>
      </w:r>
    </w:p>
    <w:p w14:paraId="4AD751BE" w14:textId="4A2B4F43" w:rsidR="00643EED" w:rsidRPr="000C6009" w:rsidRDefault="00643EED" w:rsidP="000C6009">
      <w:pPr>
        <w:spacing w:before="120" w:after="120" w:line="240" w:lineRule="auto"/>
        <w:jc w:val="both"/>
        <w:rPr>
          <w:rFonts w:cstheme="minorHAnsi"/>
          <w:b/>
          <w:shd w:val="clear" w:color="auto" w:fill="FFFFFF" w:themeFill="background1"/>
        </w:rPr>
      </w:pPr>
      <w:r w:rsidRPr="000C6009">
        <w:rPr>
          <w:rFonts w:cstheme="minorHAnsi"/>
          <w:b/>
          <w:shd w:val="clear" w:color="auto" w:fill="FFFFFF" w:themeFill="background1"/>
        </w:rPr>
        <w:t xml:space="preserve">Rashodi za usluge </w:t>
      </w:r>
    </w:p>
    <w:p w14:paraId="2DA0540D" w14:textId="138EE919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DA522E">
        <w:rPr>
          <w:rFonts w:cstheme="minorHAnsi"/>
          <w:shd w:val="clear" w:color="auto" w:fill="FFFFFF" w:themeFill="background1"/>
        </w:rPr>
        <w:t>U okviru rashoda za usluge</w:t>
      </w:r>
      <w:r w:rsidRPr="00DA522E">
        <w:rPr>
          <w:rFonts w:cstheme="minorHAnsi"/>
          <w:b/>
          <w:shd w:val="clear" w:color="auto" w:fill="FFFFFF" w:themeFill="background1"/>
        </w:rPr>
        <w:t xml:space="preserve"> </w:t>
      </w:r>
      <w:r w:rsidRPr="00DA522E">
        <w:rPr>
          <w:rFonts w:cstheme="minorHAnsi"/>
          <w:shd w:val="clear" w:color="auto" w:fill="FFFFFF" w:themeFill="background1"/>
        </w:rPr>
        <w:t>vrijednosno su najznačajniji rashodi za usluge tekućeg i investicijskog održavanja cesta koji su</w:t>
      </w:r>
      <w:r w:rsidR="0007331A" w:rsidRPr="00DA522E">
        <w:rPr>
          <w:rFonts w:cstheme="minorHAnsi"/>
          <w:shd w:val="clear" w:color="auto" w:fill="FFFFFF" w:themeFill="background1"/>
        </w:rPr>
        <w:t xml:space="preserve"> izvršeni u iznosu </w:t>
      </w:r>
      <w:r w:rsidR="00766C21">
        <w:rPr>
          <w:rFonts w:cstheme="minorHAnsi"/>
          <w:shd w:val="clear" w:color="auto" w:fill="FFFFFF" w:themeFill="background1"/>
        </w:rPr>
        <w:t xml:space="preserve">od </w:t>
      </w:r>
      <w:r w:rsidR="00592415">
        <w:rPr>
          <w:rFonts w:ascii="Calibri" w:eastAsia="Times New Roman" w:hAnsi="Calibri" w:cs="Calibri"/>
          <w:color w:val="000000"/>
          <w:lang w:eastAsia="hr-HR"/>
        </w:rPr>
        <w:t>10.628.</w:t>
      </w:r>
      <w:r w:rsidR="00BE393A">
        <w:rPr>
          <w:rFonts w:ascii="Calibri" w:eastAsia="Times New Roman" w:hAnsi="Calibri" w:cs="Calibri"/>
          <w:color w:val="000000"/>
          <w:lang w:eastAsia="hr-HR"/>
        </w:rPr>
        <w:t>108,50</w:t>
      </w:r>
      <w:r w:rsidR="00917E47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154FAB">
        <w:rPr>
          <w:rFonts w:cstheme="minorHAnsi"/>
          <w:shd w:val="clear" w:color="auto" w:fill="FFFFFF" w:themeFill="background1"/>
        </w:rPr>
        <w:t>eur</w:t>
      </w:r>
      <w:r w:rsidR="006242CE">
        <w:rPr>
          <w:rFonts w:cstheme="minorHAnsi"/>
          <w:shd w:val="clear" w:color="auto" w:fill="FFFFFF" w:themeFill="background1"/>
        </w:rPr>
        <w:t>a</w:t>
      </w:r>
      <w:r w:rsidR="00657C6A">
        <w:rPr>
          <w:rFonts w:cstheme="minorHAnsi"/>
          <w:shd w:val="clear" w:color="auto" w:fill="FFFFFF" w:themeFill="background1"/>
        </w:rPr>
        <w:t xml:space="preserve">, što čini </w:t>
      </w:r>
      <w:r w:rsidR="00592415">
        <w:rPr>
          <w:rFonts w:cstheme="minorHAnsi"/>
          <w:shd w:val="clear" w:color="auto" w:fill="FFFFFF" w:themeFill="background1"/>
        </w:rPr>
        <w:t>95,10</w:t>
      </w:r>
      <w:r w:rsidRPr="00DA522E">
        <w:rPr>
          <w:rFonts w:cstheme="minorHAnsi"/>
          <w:shd w:val="clear" w:color="auto" w:fill="FFFFFF" w:themeFill="background1"/>
        </w:rPr>
        <w:t xml:space="preserve">% ukupnih rashoda za usluge, </w:t>
      </w:r>
      <w:r w:rsidR="00F268E5">
        <w:rPr>
          <w:rFonts w:cstheme="minorHAnsi"/>
          <w:shd w:val="clear" w:color="auto" w:fill="FFFFFF" w:themeFill="background1"/>
        </w:rPr>
        <w:t>dok su ostali</w:t>
      </w:r>
      <w:r w:rsidR="000B69F8">
        <w:rPr>
          <w:rFonts w:cstheme="minorHAnsi"/>
        </w:rPr>
        <w:t xml:space="preserve"> rashodi za usluge </w:t>
      </w:r>
      <w:r w:rsidRPr="00CD5B87">
        <w:rPr>
          <w:rFonts w:cstheme="minorHAnsi"/>
        </w:rPr>
        <w:t>(</w:t>
      </w:r>
      <w:r w:rsidR="006242CE">
        <w:rPr>
          <w:rFonts w:cstheme="minorHAnsi"/>
        </w:rPr>
        <w:t>usluge telefona,</w:t>
      </w:r>
      <w:r w:rsidR="00BE393A">
        <w:rPr>
          <w:rFonts w:cstheme="minorHAnsi"/>
        </w:rPr>
        <w:t xml:space="preserve"> interneta,</w:t>
      </w:r>
      <w:r w:rsidR="006242CE">
        <w:rPr>
          <w:rFonts w:cstheme="minorHAnsi"/>
        </w:rPr>
        <w:t xml:space="preserve"> pošte i prijevoza, </w:t>
      </w:r>
      <w:r w:rsidR="00BE393A">
        <w:rPr>
          <w:rFonts w:cstheme="minorHAnsi"/>
        </w:rPr>
        <w:t xml:space="preserve">usluge </w:t>
      </w:r>
      <w:r w:rsidR="006242CE">
        <w:rPr>
          <w:rFonts w:cstheme="minorHAnsi"/>
        </w:rPr>
        <w:t>promidžbe i informiranja, komunalne usluge, zakupnine i najamnine, zdravstvene usluge, intelektualne i osobne usluge, računalne usluge i ostale usluge</w:t>
      </w:r>
      <w:r w:rsidR="0007331A">
        <w:rPr>
          <w:rFonts w:cstheme="minorHAnsi"/>
        </w:rPr>
        <w:t xml:space="preserve">) izvršeni u iznosu </w:t>
      </w:r>
      <w:r w:rsidR="00657C6A">
        <w:rPr>
          <w:rFonts w:cstheme="minorHAnsi"/>
        </w:rPr>
        <w:t xml:space="preserve">od </w:t>
      </w:r>
      <w:r w:rsidR="00592415">
        <w:rPr>
          <w:rFonts w:cstheme="minorHAnsi"/>
        </w:rPr>
        <w:t>54</w:t>
      </w:r>
      <w:r w:rsidR="006B085E">
        <w:rPr>
          <w:rFonts w:cstheme="minorHAnsi"/>
        </w:rPr>
        <w:t xml:space="preserve">8.044,08 </w:t>
      </w:r>
      <w:r w:rsidR="00154FAB">
        <w:rPr>
          <w:rFonts w:cstheme="minorHAnsi"/>
        </w:rPr>
        <w:t>eur</w:t>
      </w:r>
      <w:r w:rsidR="006242CE">
        <w:rPr>
          <w:rFonts w:cstheme="minorHAnsi"/>
        </w:rPr>
        <w:t>a</w:t>
      </w:r>
      <w:r w:rsidR="00657C6A">
        <w:rPr>
          <w:rFonts w:cstheme="minorHAnsi"/>
        </w:rPr>
        <w:t xml:space="preserve"> i čine </w:t>
      </w:r>
      <w:r w:rsidR="00592415">
        <w:rPr>
          <w:rFonts w:cstheme="minorHAnsi"/>
        </w:rPr>
        <w:t>4,9</w:t>
      </w:r>
      <w:r w:rsidR="006B085E">
        <w:rPr>
          <w:rFonts w:cstheme="minorHAnsi"/>
        </w:rPr>
        <w:t>0</w:t>
      </w:r>
      <w:r w:rsidRPr="00CD5B87">
        <w:rPr>
          <w:rFonts w:cstheme="minorHAnsi"/>
        </w:rPr>
        <w:t>% ukupnih rashoda za usluge.</w:t>
      </w:r>
    </w:p>
    <w:p w14:paraId="7DE73F09" w14:textId="453E141D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Rashodi za usluge tekućeg i investicijskog održavanja cesta obuhvaćaju rashode re</w:t>
      </w:r>
      <w:r w:rsidR="00BE6EDC">
        <w:rPr>
          <w:rFonts w:cstheme="minorHAnsi"/>
        </w:rPr>
        <w:t>dovitog i izvanrednog održavanja</w:t>
      </w:r>
      <w:r w:rsidR="00643EED">
        <w:rPr>
          <w:rFonts w:cstheme="minorHAnsi"/>
        </w:rPr>
        <w:t xml:space="preserve"> županijskih i lokalnih cesta.</w:t>
      </w:r>
    </w:p>
    <w:p w14:paraId="22CA604C" w14:textId="0ED8B494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U </w:t>
      </w:r>
      <w:r w:rsidR="000B69F8">
        <w:rPr>
          <w:rFonts w:cstheme="minorHAnsi"/>
        </w:rPr>
        <w:t>202</w:t>
      </w:r>
      <w:r w:rsidR="00186386">
        <w:rPr>
          <w:rFonts w:cstheme="minorHAnsi"/>
        </w:rPr>
        <w:t>5</w:t>
      </w:r>
      <w:r w:rsidR="000B69F8">
        <w:rPr>
          <w:rFonts w:cstheme="minorHAnsi"/>
        </w:rPr>
        <w:t>. godin</w:t>
      </w:r>
      <w:r w:rsidR="00917E47">
        <w:rPr>
          <w:rFonts w:cstheme="minorHAnsi"/>
        </w:rPr>
        <w:t>i</w:t>
      </w:r>
      <w:r w:rsidR="000B69F8">
        <w:rPr>
          <w:rFonts w:cstheme="minorHAnsi"/>
        </w:rPr>
        <w:t xml:space="preserve"> za </w:t>
      </w:r>
      <w:r w:rsidRPr="00CD5B87">
        <w:rPr>
          <w:rFonts w:cstheme="minorHAnsi"/>
        </w:rPr>
        <w:t>redovito održavanje županijskih i lokalnih</w:t>
      </w:r>
      <w:r w:rsidR="00766C21">
        <w:rPr>
          <w:rFonts w:cstheme="minorHAnsi"/>
        </w:rPr>
        <w:t xml:space="preserve"> cesta utrošeno je </w:t>
      </w:r>
      <w:r w:rsidR="00186386">
        <w:rPr>
          <w:rFonts w:cstheme="minorHAnsi"/>
        </w:rPr>
        <w:t>6.697.877,27</w:t>
      </w:r>
      <w:r w:rsidR="00917E47">
        <w:rPr>
          <w:rFonts w:cstheme="minorHAnsi"/>
        </w:rPr>
        <w:t xml:space="preserve"> </w:t>
      </w:r>
      <w:r w:rsidR="00766C21">
        <w:rPr>
          <w:rFonts w:cstheme="minorHAnsi"/>
        </w:rPr>
        <w:t>eur</w:t>
      </w:r>
      <w:r w:rsidR="006242CE">
        <w:rPr>
          <w:rFonts w:cstheme="minorHAnsi"/>
        </w:rPr>
        <w:t>a</w:t>
      </w:r>
      <w:r w:rsidR="00A93738">
        <w:rPr>
          <w:rFonts w:cstheme="minorHAnsi"/>
        </w:rPr>
        <w:t xml:space="preserve">, što je </w:t>
      </w:r>
      <w:r w:rsidR="00186386">
        <w:rPr>
          <w:rFonts w:cstheme="minorHAnsi"/>
        </w:rPr>
        <w:t>97,14</w:t>
      </w:r>
      <w:r w:rsidRPr="00CD5B87">
        <w:rPr>
          <w:rFonts w:cstheme="minorHAnsi"/>
        </w:rPr>
        <w:t>% godišnjeg pl</w:t>
      </w:r>
      <w:r w:rsidR="00A93738">
        <w:rPr>
          <w:rFonts w:cstheme="minorHAnsi"/>
        </w:rPr>
        <w:t xml:space="preserve">ana, a za izvanredno održavanje </w:t>
      </w:r>
      <w:r w:rsidR="00186386">
        <w:rPr>
          <w:rFonts w:cstheme="minorHAnsi"/>
        </w:rPr>
        <w:t>3.930.231,23</w:t>
      </w:r>
      <w:r w:rsidR="00766C21">
        <w:rPr>
          <w:rFonts w:cstheme="minorHAnsi"/>
        </w:rPr>
        <w:t xml:space="preserve"> eur</w:t>
      </w:r>
      <w:r w:rsidR="006242CE">
        <w:rPr>
          <w:rFonts w:cstheme="minorHAnsi"/>
        </w:rPr>
        <w:t>a</w:t>
      </w:r>
      <w:r w:rsidR="00A93738">
        <w:rPr>
          <w:rFonts w:cstheme="minorHAnsi"/>
        </w:rPr>
        <w:t xml:space="preserve">, što je </w:t>
      </w:r>
      <w:r w:rsidR="00186386">
        <w:rPr>
          <w:rFonts w:cstheme="minorHAnsi"/>
        </w:rPr>
        <w:t>66,93</w:t>
      </w:r>
      <w:r w:rsidR="00643EED">
        <w:rPr>
          <w:rFonts w:cstheme="minorHAnsi"/>
        </w:rPr>
        <w:t>% godišnjeg plana.</w:t>
      </w:r>
    </w:p>
    <w:p w14:paraId="616168C1" w14:textId="5C225953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U usporedbi s </w:t>
      </w:r>
      <w:r w:rsidR="00917E47">
        <w:rPr>
          <w:rFonts w:cstheme="minorHAnsi"/>
        </w:rPr>
        <w:t>p</w:t>
      </w:r>
      <w:r w:rsidRPr="00CD5B87">
        <w:rPr>
          <w:rFonts w:cstheme="minorHAnsi"/>
        </w:rPr>
        <w:t>rethodn</w:t>
      </w:r>
      <w:r w:rsidR="00917E47">
        <w:rPr>
          <w:rFonts w:cstheme="minorHAnsi"/>
        </w:rPr>
        <w:t>om</w:t>
      </w:r>
      <w:r w:rsidRPr="00CD5B87">
        <w:rPr>
          <w:rFonts w:cstheme="minorHAnsi"/>
        </w:rPr>
        <w:t xml:space="preserve"> godin</w:t>
      </w:r>
      <w:r w:rsidR="00917E47">
        <w:rPr>
          <w:rFonts w:cstheme="minorHAnsi"/>
        </w:rPr>
        <w:t>om</w:t>
      </w:r>
      <w:r w:rsidRPr="00CD5B87">
        <w:rPr>
          <w:rFonts w:cstheme="minorHAnsi"/>
        </w:rPr>
        <w:t xml:space="preserve"> rashodi za redovito </w:t>
      </w:r>
      <w:r w:rsidR="001A2CE1">
        <w:rPr>
          <w:rFonts w:cstheme="minorHAnsi"/>
        </w:rPr>
        <w:t xml:space="preserve">održavanje cesta veći su za </w:t>
      </w:r>
      <w:r w:rsidR="00186386">
        <w:rPr>
          <w:rFonts w:cstheme="minorHAnsi"/>
        </w:rPr>
        <w:t>328.654,73</w:t>
      </w:r>
      <w:r w:rsidR="005215BC">
        <w:rPr>
          <w:rFonts w:cstheme="minorHAnsi"/>
        </w:rPr>
        <w:t xml:space="preserve"> eur</w:t>
      </w:r>
      <w:r w:rsidR="006242CE">
        <w:rPr>
          <w:rFonts w:cstheme="minorHAnsi"/>
        </w:rPr>
        <w:t>a</w:t>
      </w:r>
      <w:r w:rsidR="00A93738">
        <w:rPr>
          <w:rFonts w:cstheme="minorHAnsi"/>
        </w:rPr>
        <w:t xml:space="preserve"> ili </w:t>
      </w:r>
      <w:r w:rsidR="00186386">
        <w:rPr>
          <w:rFonts w:cstheme="minorHAnsi"/>
        </w:rPr>
        <w:t>5,16</w:t>
      </w:r>
      <w:r w:rsidR="00046E48">
        <w:rPr>
          <w:rFonts w:cstheme="minorHAnsi"/>
        </w:rPr>
        <w:t xml:space="preserve">%, </w:t>
      </w:r>
      <w:r w:rsidRPr="00CD5B87">
        <w:rPr>
          <w:rFonts w:cstheme="minorHAnsi"/>
        </w:rPr>
        <w:t>a rasho</w:t>
      </w:r>
      <w:r w:rsidR="001A2CE1">
        <w:rPr>
          <w:rFonts w:cstheme="minorHAnsi"/>
        </w:rPr>
        <w:t>d</w:t>
      </w:r>
      <w:r w:rsidR="009A7BDB">
        <w:rPr>
          <w:rFonts w:cstheme="minorHAnsi"/>
        </w:rPr>
        <w:t xml:space="preserve">i za izvanredno održavanje </w:t>
      </w:r>
      <w:r w:rsidR="006242CE">
        <w:rPr>
          <w:rFonts w:cstheme="minorHAnsi"/>
        </w:rPr>
        <w:t>manji</w:t>
      </w:r>
      <w:r w:rsidR="009A7BDB">
        <w:rPr>
          <w:rFonts w:cstheme="minorHAnsi"/>
        </w:rPr>
        <w:t xml:space="preserve"> </w:t>
      </w:r>
      <w:r w:rsidR="001A2CE1">
        <w:rPr>
          <w:rFonts w:cstheme="minorHAnsi"/>
        </w:rPr>
        <w:t>su za</w:t>
      </w:r>
      <w:r w:rsidR="00962D2C">
        <w:rPr>
          <w:rFonts w:cstheme="minorHAnsi"/>
        </w:rPr>
        <w:t xml:space="preserve"> </w:t>
      </w:r>
      <w:r w:rsidR="00186386">
        <w:rPr>
          <w:rFonts w:cstheme="minorHAnsi"/>
        </w:rPr>
        <w:t>1.414.903,36</w:t>
      </w:r>
      <w:r w:rsidR="005215BC">
        <w:rPr>
          <w:rFonts w:cstheme="minorHAnsi"/>
        </w:rPr>
        <w:t xml:space="preserve"> eur</w:t>
      </w:r>
      <w:r w:rsidR="006242CE">
        <w:rPr>
          <w:rFonts w:cstheme="minorHAnsi"/>
        </w:rPr>
        <w:t>a</w:t>
      </w:r>
      <w:r w:rsidR="009A7BDB">
        <w:rPr>
          <w:rFonts w:cstheme="minorHAnsi"/>
        </w:rPr>
        <w:t xml:space="preserve"> ili </w:t>
      </w:r>
      <w:r w:rsidR="00186386">
        <w:rPr>
          <w:rFonts w:cstheme="minorHAnsi"/>
        </w:rPr>
        <w:t>26,47</w:t>
      </w:r>
      <w:r w:rsidR="00643EED">
        <w:rPr>
          <w:rFonts w:cstheme="minorHAnsi"/>
        </w:rPr>
        <w:t>%.</w:t>
      </w:r>
      <w:r w:rsidR="00400426">
        <w:rPr>
          <w:rFonts w:cstheme="minorHAnsi"/>
        </w:rPr>
        <w:t xml:space="preserve"> </w:t>
      </w:r>
      <w:r w:rsidR="00400426" w:rsidRPr="000C2BF2">
        <w:rPr>
          <w:rFonts w:cstheme="minorHAnsi"/>
        </w:rPr>
        <w:t xml:space="preserve">Manje izvršenje rashoda za izvanredno održavanja cesta </w:t>
      </w:r>
      <w:r w:rsidR="000C2BF2">
        <w:rPr>
          <w:rFonts w:cstheme="minorHAnsi"/>
        </w:rPr>
        <w:t>u 202</w:t>
      </w:r>
      <w:r w:rsidR="00186386">
        <w:rPr>
          <w:rFonts w:cstheme="minorHAnsi"/>
        </w:rPr>
        <w:t>5</w:t>
      </w:r>
      <w:r w:rsidR="000C2BF2">
        <w:rPr>
          <w:rFonts w:cstheme="minorHAnsi"/>
        </w:rPr>
        <w:t>. godini u odnosu na 202</w:t>
      </w:r>
      <w:r w:rsidR="00186386">
        <w:rPr>
          <w:rFonts w:cstheme="minorHAnsi"/>
        </w:rPr>
        <w:t>4</w:t>
      </w:r>
      <w:r w:rsidR="000C2BF2">
        <w:rPr>
          <w:rFonts w:cstheme="minorHAnsi"/>
        </w:rPr>
        <w:t xml:space="preserve">. godinu </w:t>
      </w:r>
      <w:r w:rsidR="00400426" w:rsidRPr="000C2BF2">
        <w:rPr>
          <w:rFonts w:cstheme="minorHAnsi"/>
        </w:rPr>
        <w:t xml:space="preserve">posljedica je </w:t>
      </w:r>
      <w:r w:rsidR="000C2BF2">
        <w:rPr>
          <w:rFonts w:cstheme="minorHAnsi"/>
        </w:rPr>
        <w:t>većeg planiranja i izvršenja</w:t>
      </w:r>
      <w:r w:rsidR="00400426" w:rsidRPr="000C2BF2">
        <w:rPr>
          <w:rFonts w:cstheme="minorHAnsi"/>
        </w:rPr>
        <w:t xml:space="preserve"> rashoda unutar programa gradnje cesta</w:t>
      </w:r>
      <w:r w:rsidR="000C2BF2" w:rsidRPr="000C2BF2">
        <w:rPr>
          <w:rFonts w:cstheme="minorHAnsi"/>
        </w:rPr>
        <w:t xml:space="preserve"> </w:t>
      </w:r>
      <w:r w:rsidR="000C2BF2">
        <w:rPr>
          <w:rFonts w:cstheme="minorHAnsi"/>
        </w:rPr>
        <w:t>u 202</w:t>
      </w:r>
      <w:r w:rsidR="00186386">
        <w:rPr>
          <w:rFonts w:cstheme="minorHAnsi"/>
        </w:rPr>
        <w:t>5</w:t>
      </w:r>
      <w:r w:rsidR="000C2BF2">
        <w:rPr>
          <w:rFonts w:cstheme="minorHAnsi"/>
        </w:rPr>
        <w:t>. godini</w:t>
      </w:r>
      <w:r w:rsidR="00400426" w:rsidRPr="000C2BF2">
        <w:rPr>
          <w:rFonts w:cstheme="minorHAnsi"/>
        </w:rPr>
        <w:t>.</w:t>
      </w:r>
    </w:p>
    <w:p w14:paraId="312B5C1F" w14:textId="5C32B569" w:rsidR="000B3A72" w:rsidRPr="005C4ECD" w:rsidRDefault="000B3A72" w:rsidP="005C7803">
      <w:pPr>
        <w:spacing w:before="120" w:after="120" w:line="240" w:lineRule="auto"/>
        <w:jc w:val="both"/>
        <w:rPr>
          <w:rFonts w:cstheme="minorHAnsi"/>
          <w:shd w:val="clear" w:color="auto" w:fill="FFFFFF" w:themeFill="background1"/>
        </w:rPr>
      </w:pPr>
      <w:r w:rsidRPr="005C4ECD">
        <w:rPr>
          <w:rFonts w:cstheme="minorHAnsi"/>
        </w:rPr>
        <w:t xml:space="preserve">Detaljnije obrazloženje radova redovitog i izvanrednog održavanja nalazi se na stranicama </w:t>
      </w:r>
      <w:r w:rsidR="003E6AB6" w:rsidRPr="005C4ECD">
        <w:rPr>
          <w:rFonts w:cstheme="minorHAnsi"/>
        </w:rPr>
        <w:t xml:space="preserve">od </w:t>
      </w:r>
      <w:r w:rsidR="005C4ECD" w:rsidRPr="00053E50">
        <w:rPr>
          <w:rFonts w:cstheme="minorHAnsi"/>
        </w:rPr>
        <w:t>28</w:t>
      </w:r>
      <w:r w:rsidR="007256E6" w:rsidRPr="00053E50">
        <w:rPr>
          <w:rFonts w:cstheme="minorHAnsi"/>
        </w:rPr>
        <w:t>.</w:t>
      </w:r>
      <w:r w:rsidR="003E6AB6" w:rsidRPr="00053E50">
        <w:rPr>
          <w:rFonts w:cstheme="minorHAnsi"/>
        </w:rPr>
        <w:t xml:space="preserve"> do</w:t>
      </w:r>
      <w:r w:rsidR="0075171D" w:rsidRPr="00053E50">
        <w:rPr>
          <w:rFonts w:cstheme="minorHAnsi"/>
        </w:rPr>
        <w:t xml:space="preserve"> </w:t>
      </w:r>
      <w:r w:rsidR="00053E50" w:rsidRPr="00053E50">
        <w:rPr>
          <w:rFonts w:cstheme="minorHAnsi"/>
        </w:rPr>
        <w:t>33</w:t>
      </w:r>
      <w:r w:rsidRPr="00053E50">
        <w:rPr>
          <w:rFonts w:cstheme="minorHAnsi"/>
        </w:rPr>
        <w:t>.</w:t>
      </w:r>
      <w:r w:rsidR="009A7BDB" w:rsidRPr="005C4ECD">
        <w:rPr>
          <w:rFonts w:cstheme="minorHAnsi"/>
        </w:rPr>
        <w:t xml:space="preserve"> u</w:t>
      </w:r>
      <w:r w:rsidR="009A7BDB" w:rsidRPr="005C4ECD">
        <w:rPr>
          <w:rFonts w:cstheme="minorHAnsi"/>
          <w:shd w:val="clear" w:color="auto" w:fill="FFFFFF" w:themeFill="background1"/>
        </w:rPr>
        <w:t xml:space="preserve"> tabelarnom prikazu razvrstani po </w:t>
      </w:r>
      <w:r w:rsidR="008B0D76" w:rsidRPr="005C4ECD">
        <w:rPr>
          <w:rFonts w:cstheme="minorHAnsi"/>
          <w:shd w:val="clear" w:color="auto" w:fill="FFFFFF" w:themeFill="background1"/>
        </w:rPr>
        <w:t>projektima i aktivnostima</w:t>
      </w:r>
      <w:r w:rsidR="009A7BDB" w:rsidRPr="005C4ECD">
        <w:rPr>
          <w:rFonts w:cstheme="minorHAnsi"/>
          <w:shd w:val="clear" w:color="auto" w:fill="FFFFFF" w:themeFill="background1"/>
        </w:rPr>
        <w:t>.</w:t>
      </w:r>
    </w:p>
    <w:p w14:paraId="6779E1BC" w14:textId="7ADA3093" w:rsidR="000B3A72" w:rsidRPr="006A725F" w:rsidRDefault="008E453F" w:rsidP="005C7803">
      <w:pPr>
        <w:spacing w:before="120" w:after="120" w:line="240" w:lineRule="auto"/>
        <w:jc w:val="both"/>
        <w:rPr>
          <w:rFonts w:cstheme="minorHAnsi"/>
        </w:rPr>
      </w:pPr>
      <w:r w:rsidRPr="006A725F">
        <w:rPr>
          <w:rFonts w:cstheme="minorHAnsi"/>
        </w:rPr>
        <w:t>Kao što je prethodno navedeno, o</w:t>
      </w:r>
      <w:r w:rsidR="000B3A72" w:rsidRPr="006A725F">
        <w:rPr>
          <w:rFonts w:cstheme="minorHAnsi"/>
        </w:rPr>
        <w:t>sim rashoda za održ</w:t>
      </w:r>
      <w:r w:rsidRPr="006A725F">
        <w:rPr>
          <w:rFonts w:cstheme="minorHAnsi"/>
        </w:rPr>
        <w:t>avanje cesta, rashode za usluge</w:t>
      </w:r>
      <w:r w:rsidR="00174C2A" w:rsidRPr="006A725F">
        <w:rPr>
          <w:rFonts w:cstheme="minorHAnsi"/>
        </w:rPr>
        <w:t xml:space="preserve"> čine</w:t>
      </w:r>
      <w:r w:rsidRPr="006A725F">
        <w:rPr>
          <w:rFonts w:cstheme="minorHAnsi"/>
        </w:rPr>
        <w:t xml:space="preserve"> rashodi </w:t>
      </w:r>
      <w:r w:rsidR="000B3A72" w:rsidRPr="006A725F">
        <w:rPr>
          <w:rFonts w:cstheme="minorHAnsi"/>
        </w:rPr>
        <w:t xml:space="preserve">za </w:t>
      </w:r>
      <w:r w:rsidR="00F10F1C" w:rsidRPr="006A725F">
        <w:rPr>
          <w:rFonts w:cstheme="minorHAnsi"/>
        </w:rPr>
        <w:t xml:space="preserve">usluge telefona, </w:t>
      </w:r>
      <w:r w:rsidR="00F10F1C">
        <w:rPr>
          <w:rFonts w:cstheme="minorHAnsi"/>
        </w:rPr>
        <w:t xml:space="preserve">interneta, </w:t>
      </w:r>
      <w:r w:rsidR="00F10F1C" w:rsidRPr="006A725F">
        <w:rPr>
          <w:rFonts w:cstheme="minorHAnsi"/>
        </w:rPr>
        <w:t>pošte i prijevoza</w:t>
      </w:r>
      <w:r w:rsidR="00F10F1C">
        <w:rPr>
          <w:rFonts w:cstheme="minorHAnsi"/>
        </w:rPr>
        <w:t>,</w:t>
      </w:r>
      <w:r w:rsidR="00F10F1C" w:rsidRPr="006A725F">
        <w:rPr>
          <w:rFonts w:cstheme="minorHAnsi"/>
        </w:rPr>
        <w:t xml:space="preserve"> </w:t>
      </w:r>
      <w:r w:rsidR="00F10F1C">
        <w:rPr>
          <w:rFonts w:cstheme="minorHAnsi"/>
        </w:rPr>
        <w:t xml:space="preserve">usluge </w:t>
      </w:r>
      <w:r w:rsidR="00F10F1C" w:rsidRPr="006A725F">
        <w:rPr>
          <w:rFonts w:cstheme="minorHAnsi"/>
        </w:rPr>
        <w:t>promidžbe i informiranja (objava oglasa i poziva u javnim glasilima)</w:t>
      </w:r>
      <w:r w:rsidR="00F10F1C">
        <w:rPr>
          <w:rFonts w:cstheme="minorHAnsi"/>
        </w:rPr>
        <w:t xml:space="preserve">, </w:t>
      </w:r>
      <w:r w:rsidR="000B3A72" w:rsidRPr="006A725F">
        <w:rPr>
          <w:rFonts w:cstheme="minorHAnsi"/>
        </w:rPr>
        <w:t xml:space="preserve">komunalne usluge (naknada za uređenje voda, komunalna naknada, odvoz smeća, utrošak vode), </w:t>
      </w:r>
      <w:r w:rsidR="00F10F1C" w:rsidRPr="006A725F">
        <w:rPr>
          <w:rFonts w:cstheme="minorHAnsi"/>
        </w:rPr>
        <w:t>zakupnine i najamnine, zdravstvene</w:t>
      </w:r>
      <w:r w:rsidR="00F10F1C">
        <w:rPr>
          <w:rFonts w:cstheme="minorHAnsi"/>
        </w:rPr>
        <w:t xml:space="preserve"> usluge</w:t>
      </w:r>
      <w:r w:rsidR="00F10F1C" w:rsidRPr="006A725F">
        <w:rPr>
          <w:rFonts w:cstheme="minorHAnsi"/>
        </w:rPr>
        <w:t xml:space="preserve">, </w:t>
      </w:r>
      <w:r w:rsidR="000B3A72" w:rsidRPr="006A725F">
        <w:rPr>
          <w:rFonts w:cstheme="minorHAnsi"/>
        </w:rPr>
        <w:t xml:space="preserve">intelektualne i osobne usluge (usluge pravnog zastupanja, ugovor o djelu, usluge vještačenja, usluge arhiviranja i čuvanja arhivske građe, javnobilježničke i slične usluge), </w:t>
      </w:r>
      <w:r w:rsidR="00F5499F" w:rsidRPr="006A725F">
        <w:rPr>
          <w:rFonts w:cstheme="minorHAnsi"/>
        </w:rPr>
        <w:t>računalne usluge</w:t>
      </w:r>
      <w:r w:rsidR="000B3A72" w:rsidRPr="006A725F">
        <w:rPr>
          <w:rFonts w:cstheme="minorHAnsi"/>
        </w:rPr>
        <w:t xml:space="preserve"> </w:t>
      </w:r>
      <w:r w:rsidR="002521F9" w:rsidRPr="006A725F">
        <w:rPr>
          <w:rFonts w:cstheme="minorHAnsi"/>
        </w:rPr>
        <w:t>i ostale usluge</w:t>
      </w:r>
      <w:r w:rsidRPr="006A725F">
        <w:rPr>
          <w:rFonts w:cstheme="minorHAnsi"/>
        </w:rPr>
        <w:t xml:space="preserve"> vezane za redovno poslovanje i izvršavanje progra</w:t>
      </w:r>
      <w:r w:rsidR="00766C21" w:rsidRPr="006A725F">
        <w:rPr>
          <w:rFonts w:cstheme="minorHAnsi"/>
        </w:rPr>
        <w:t>mskih aktivnosti. U 202</w:t>
      </w:r>
      <w:r w:rsidR="00186386">
        <w:rPr>
          <w:rFonts w:cstheme="minorHAnsi"/>
        </w:rPr>
        <w:t>5</w:t>
      </w:r>
      <w:r w:rsidR="00766C21" w:rsidRPr="006A725F">
        <w:rPr>
          <w:rFonts w:cstheme="minorHAnsi"/>
        </w:rPr>
        <w:t>. godini</w:t>
      </w:r>
      <w:r w:rsidRPr="006A725F">
        <w:rPr>
          <w:rFonts w:cstheme="minorHAnsi"/>
        </w:rPr>
        <w:t xml:space="preserve"> </w:t>
      </w:r>
      <w:r w:rsidR="000B3A72" w:rsidRPr="006A725F">
        <w:rPr>
          <w:rFonts w:cstheme="minorHAnsi"/>
        </w:rPr>
        <w:t>izvr</w:t>
      </w:r>
      <w:r w:rsidRPr="006A725F">
        <w:rPr>
          <w:rFonts w:cstheme="minorHAnsi"/>
        </w:rPr>
        <w:t xml:space="preserve">šeno je </w:t>
      </w:r>
      <w:r w:rsidR="006B73C5">
        <w:rPr>
          <w:rFonts w:cstheme="minorHAnsi"/>
        </w:rPr>
        <w:t>91,24</w:t>
      </w:r>
      <w:r w:rsidR="00174C2A" w:rsidRPr="006A725F">
        <w:rPr>
          <w:rFonts w:cstheme="minorHAnsi"/>
        </w:rPr>
        <w:t xml:space="preserve">% plana </w:t>
      </w:r>
      <w:r w:rsidRPr="006A725F">
        <w:rPr>
          <w:rFonts w:cstheme="minorHAnsi"/>
        </w:rPr>
        <w:t>prethodno navedeni</w:t>
      </w:r>
      <w:r w:rsidR="00174C2A" w:rsidRPr="006A725F">
        <w:rPr>
          <w:rFonts w:cstheme="minorHAnsi"/>
        </w:rPr>
        <w:t>h</w:t>
      </w:r>
      <w:r w:rsidRPr="006A725F">
        <w:rPr>
          <w:rFonts w:cstheme="minorHAnsi"/>
        </w:rPr>
        <w:t xml:space="preserve"> </w:t>
      </w:r>
      <w:r w:rsidR="00174C2A" w:rsidRPr="006A725F">
        <w:rPr>
          <w:rFonts w:cstheme="minorHAnsi"/>
        </w:rPr>
        <w:t>rashoda za usluge</w:t>
      </w:r>
      <w:r w:rsidR="00D9267B" w:rsidRPr="006A725F">
        <w:rPr>
          <w:rFonts w:cstheme="minorHAnsi"/>
        </w:rPr>
        <w:t xml:space="preserve"> </w:t>
      </w:r>
      <w:r w:rsidR="00174C2A" w:rsidRPr="006A725F">
        <w:rPr>
          <w:rFonts w:cstheme="minorHAnsi"/>
        </w:rPr>
        <w:t xml:space="preserve">ili </w:t>
      </w:r>
      <w:r w:rsidR="006B73C5">
        <w:rPr>
          <w:rFonts w:cstheme="minorHAnsi"/>
        </w:rPr>
        <w:t>5,76</w:t>
      </w:r>
      <w:r w:rsidR="00174C2A" w:rsidRPr="006A725F">
        <w:rPr>
          <w:rFonts w:cstheme="minorHAnsi"/>
        </w:rPr>
        <w:t xml:space="preserve">% </w:t>
      </w:r>
      <w:r w:rsidR="00F07E39" w:rsidRPr="006A725F">
        <w:rPr>
          <w:rFonts w:cstheme="minorHAnsi"/>
        </w:rPr>
        <w:t>više</w:t>
      </w:r>
      <w:r w:rsidR="000B3A72" w:rsidRPr="006A725F">
        <w:rPr>
          <w:rFonts w:cstheme="minorHAnsi"/>
        </w:rPr>
        <w:t xml:space="preserve"> u usporedbi s ist</w:t>
      </w:r>
      <w:r w:rsidR="00046E48" w:rsidRPr="006A725F">
        <w:rPr>
          <w:rFonts w:cstheme="minorHAnsi"/>
        </w:rPr>
        <w:t>im razdobljem prethodne godine.</w:t>
      </w:r>
    </w:p>
    <w:p w14:paraId="3FAFF5FD" w14:textId="5F42227D" w:rsidR="00030EAB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Značajnije stavke unutar </w:t>
      </w:r>
      <w:r w:rsidR="00F10F1C">
        <w:rPr>
          <w:rFonts w:cstheme="minorHAnsi"/>
        </w:rPr>
        <w:t>navedenih</w:t>
      </w:r>
      <w:r w:rsidR="00030EAB">
        <w:rPr>
          <w:rFonts w:cstheme="minorHAnsi"/>
        </w:rPr>
        <w:t xml:space="preserve"> </w:t>
      </w:r>
      <w:r w:rsidR="00F10F1C">
        <w:rPr>
          <w:rFonts w:cstheme="minorHAnsi"/>
        </w:rPr>
        <w:t>skupina</w:t>
      </w:r>
      <w:r w:rsidRPr="00CD5B87">
        <w:rPr>
          <w:rFonts w:cstheme="minorHAnsi"/>
        </w:rPr>
        <w:t xml:space="preserve"> rashoda za usluge su</w:t>
      </w:r>
      <w:r w:rsidR="00945592">
        <w:rPr>
          <w:rFonts w:cstheme="minorHAnsi"/>
        </w:rPr>
        <w:t xml:space="preserve"> </w:t>
      </w:r>
      <w:r w:rsidR="00F10F1C">
        <w:rPr>
          <w:rFonts w:cstheme="minorHAnsi"/>
        </w:rPr>
        <w:t xml:space="preserve">usluge telefona, interneta, pošte i prijevoza u iznosu od 10.821,71 eura, </w:t>
      </w:r>
      <w:r w:rsidR="006B73C5">
        <w:rPr>
          <w:rFonts w:cstheme="minorHAnsi"/>
        </w:rPr>
        <w:t xml:space="preserve">zakupnine i najamnine u iznosu od 16.054,97 eura, </w:t>
      </w:r>
      <w:r w:rsidR="00F10F1C">
        <w:rPr>
          <w:rFonts w:cstheme="minorHAnsi"/>
        </w:rPr>
        <w:t xml:space="preserve">usluge promidžbe i informiranja u iznosu od 29.817,37 eura, </w:t>
      </w:r>
      <w:r w:rsidR="006B73C5">
        <w:rPr>
          <w:rFonts w:cstheme="minorHAnsi"/>
        </w:rPr>
        <w:t xml:space="preserve">računalne usluge u iznosu od 32.195,36 eura, </w:t>
      </w:r>
      <w:r w:rsidR="00D97DDB" w:rsidRPr="00CD5B87">
        <w:rPr>
          <w:rFonts w:cstheme="minorHAnsi"/>
        </w:rPr>
        <w:t>in</w:t>
      </w:r>
      <w:r w:rsidR="00D97DDB">
        <w:rPr>
          <w:rFonts w:cstheme="minorHAnsi"/>
        </w:rPr>
        <w:t xml:space="preserve">telektualne i osobne usluge u iznosu od </w:t>
      </w:r>
      <w:r w:rsidR="006B73C5">
        <w:rPr>
          <w:rFonts w:cstheme="minorHAnsi"/>
        </w:rPr>
        <w:t>98.808,84</w:t>
      </w:r>
      <w:r w:rsidR="002A3C82">
        <w:rPr>
          <w:rFonts w:cstheme="minorHAnsi"/>
        </w:rPr>
        <w:t xml:space="preserve"> eur</w:t>
      </w:r>
      <w:r w:rsidR="00F07E39">
        <w:rPr>
          <w:rFonts w:cstheme="minorHAnsi"/>
        </w:rPr>
        <w:t>a</w:t>
      </w:r>
      <w:r w:rsidR="00D97DDB">
        <w:rPr>
          <w:rFonts w:cstheme="minorHAnsi"/>
        </w:rPr>
        <w:t xml:space="preserve"> </w:t>
      </w:r>
      <w:r w:rsidR="00030EAB">
        <w:rPr>
          <w:rFonts w:cstheme="minorHAnsi"/>
        </w:rPr>
        <w:t>i osta</w:t>
      </w:r>
      <w:r w:rsidR="00D97DDB">
        <w:rPr>
          <w:rFonts w:cstheme="minorHAnsi"/>
        </w:rPr>
        <w:t xml:space="preserve">le usluge u iznosu od </w:t>
      </w:r>
      <w:r w:rsidR="006B73C5">
        <w:rPr>
          <w:rFonts w:cstheme="minorHAnsi"/>
        </w:rPr>
        <w:t>264.683,88</w:t>
      </w:r>
      <w:r w:rsidR="00D97DDB">
        <w:rPr>
          <w:rFonts w:cstheme="minorHAnsi"/>
        </w:rPr>
        <w:t xml:space="preserve"> eur</w:t>
      </w:r>
      <w:r w:rsidR="00F07E39">
        <w:rPr>
          <w:rFonts w:cstheme="minorHAnsi"/>
        </w:rPr>
        <w:t>a</w:t>
      </w:r>
      <w:r w:rsidR="005C7803">
        <w:rPr>
          <w:rFonts w:cstheme="minorHAnsi"/>
        </w:rPr>
        <w:t>.</w:t>
      </w:r>
    </w:p>
    <w:p w14:paraId="4A00DA3C" w14:textId="5CC7173D" w:rsidR="002A3C82" w:rsidRDefault="006B73C5" w:rsidP="002A3C82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Zakupnine i najamnine </w:t>
      </w:r>
      <w:r w:rsidR="002A3C82">
        <w:rPr>
          <w:rFonts w:cstheme="minorHAnsi"/>
        </w:rPr>
        <w:t xml:space="preserve">najvećim dijelom </w:t>
      </w:r>
      <w:r>
        <w:rPr>
          <w:rFonts w:cstheme="minorHAnsi"/>
        </w:rPr>
        <w:t>odnose se na zakup parkirnih mjesta za službena vozila u iznosu od 7.352,64 eura</w:t>
      </w:r>
      <w:r w:rsidR="003124C7">
        <w:rPr>
          <w:rFonts w:cstheme="minorHAnsi"/>
        </w:rPr>
        <w:t xml:space="preserve"> i </w:t>
      </w:r>
      <w:r w:rsidR="00A06D34">
        <w:rPr>
          <w:rFonts w:cstheme="minorHAnsi"/>
        </w:rPr>
        <w:t>obnovu licenci za korištenje računalnih programa u iz</w:t>
      </w:r>
      <w:r w:rsidR="003124C7">
        <w:rPr>
          <w:rFonts w:cstheme="minorHAnsi"/>
        </w:rPr>
        <w:t xml:space="preserve">nosu od 4.682,71 eura. </w:t>
      </w:r>
      <w:r w:rsidR="00A06D34">
        <w:rPr>
          <w:rFonts w:cstheme="minorHAnsi"/>
        </w:rPr>
        <w:t>U 2025. godini izvršeno je 94,44% godišnjeg plana</w:t>
      </w:r>
      <w:r w:rsidR="002A3C82">
        <w:rPr>
          <w:rFonts w:cstheme="minorHAnsi"/>
        </w:rPr>
        <w:t>, te bilježe</w:t>
      </w:r>
      <w:r w:rsidR="00881690">
        <w:rPr>
          <w:rFonts w:cstheme="minorHAnsi"/>
        </w:rPr>
        <w:t xml:space="preserve"> </w:t>
      </w:r>
      <w:r w:rsidR="00A06D34">
        <w:rPr>
          <w:rFonts w:cstheme="minorHAnsi"/>
        </w:rPr>
        <w:t>povećanje</w:t>
      </w:r>
      <w:r w:rsidR="002A3C82">
        <w:rPr>
          <w:rFonts w:cstheme="minorHAnsi"/>
        </w:rPr>
        <w:t xml:space="preserve"> u odnosu na 202</w:t>
      </w:r>
      <w:r w:rsidR="00A06D34">
        <w:rPr>
          <w:rFonts w:cstheme="minorHAnsi"/>
        </w:rPr>
        <w:t>4</w:t>
      </w:r>
      <w:r w:rsidR="002A3C82">
        <w:rPr>
          <w:rFonts w:cstheme="minorHAnsi"/>
        </w:rPr>
        <w:t xml:space="preserve">. godinu za </w:t>
      </w:r>
      <w:r w:rsidR="00A06D34">
        <w:rPr>
          <w:rFonts w:cstheme="minorHAnsi"/>
        </w:rPr>
        <w:t>119,69</w:t>
      </w:r>
      <w:r w:rsidR="002A3C82">
        <w:rPr>
          <w:rFonts w:cstheme="minorHAnsi"/>
        </w:rPr>
        <w:t>%.</w:t>
      </w:r>
      <w:r w:rsidR="00A06D34">
        <w:rPr>
          <w:rFonts w:cstheme="minorHAnsi"/>
        </w:rPr>
        <w:t xml:space="preserve"> Povećanje se u najvećem dijelu odnosi na izmjene u načinu knjiženja troška zakupa parkirnih mjesta (u 2024. godini knjiženo na ostale nespomenute usluge, dok je u 2025. godini knj</w:t>
      </w:r>
      <w:r w:rsidR="003124C7">
        <w:rPr>
          <w:rFonts w:cstheme="minorHAnsi"/>
        </w:rPr>
        <w:t>iženo na zakupnine i najamnine)</w:t>
      </w:r>
      <w:r w:rsidR="00DA27CE">
        <w:rPr>
          <w:rFonts w:cstheme="minorHAnsi"/>
        </w:rPr>
        <w:t>.</w:t>
      </w:r>
    </w:p>
    <w:p w14:paraId="7E8D3EAC" w14:textId="6EED10DD" w:rsidR="008B0012" w:rsidRDefault="00905DF2" w:rsidP="008B0012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>Računalne usluge odnose se na usluge redovnog održavanja računalnih programa. U 2025. godini izvršeno je 87,01% godišnjeg plana, te bilježe povećanje za 18,94%. Povećanje se u najvećem dijelu odnosi</w:t>
      </w:r>
      <w:r w:rsidR="00B176B6">
        <w:rPr>
          <w:rFonts w:cstheme="minorHAnsi"/>
        </w:rPr>
        <w:t xml:space="preserve"> na povećanja pojedinih cijena </w:t>
      </w:r>
      <w:r w:rsidR="003124C7">
        <w:rPr>
          <w:rFonts w:cstheme="minorHAnsi"/>
        </w:rPr>
        <w:t xml:space="preserve">održavanja računalnih </w:t>
      </w:r>
      <w:r w:rsidR="00B176B6">
        <w:rPr>
          <w:rFonts w:cstheme="minorHAnsi"/>
        </w:rPr>
        <w:t>programa.</w:t>
      </w:r>
    </w:p>
    <w:p w14:paraId="0605BBE4" w14:textId="5DAD25F9" w:rsidR="005F027B" w:rsidRPr="000C6009" w:rsidRDefault="000C6009" w:rsidP="000C6009">
      <w:pPr>
        <w:spacing w:before="120" w:after="120"/>
        <w:jc w:val="both"/>
        <w:rPr>
          <w:rFonts w:cstheme="minorHAnsi"/>
        </w:rPr>
      </w:pPr>
      <w:r w:rsidRPr="00861DCD">
        <w:rPr>
          <w:rFonts w:cstheme="minorHAnsi"/>
          <w:b/>
        </w:rPr>
        <w:lastRenderedPageBreak/>
        <w:t xml:space="preserve">Rashodi za materijal i energiju </w:t>
      </w:r>
      <w:r w:rsidRPr="00861DCD">
        <w:rPr>
          <w:rFonts w:cstheme="minorHAnsi"/>
        </w:rPr>
        <w:t>iz</w:t>
      </w:r>
      <w:r>
        <w:rPr>
          <w:rFonts w:cstheme="minorHAnsi"/>
        </w:rPr>
        <w:t>v</w:t>
      </w:r>
      <w:r w:rsidR="002A3C82">
        <w:rPr>
          <w:rFonts w:cstheme="minorHAnsi"/>
        </w:rPr>
        <w:t xml:space="preserve">ršeni su </w:t>
      </w:r>
      <w:r>
        <w:rPr>
          <w:rFonts w:cstheme="minorHAnsi"/>
        </w:rPr>
        <w:t xml:space="preserve">u iznosu od </w:t>
      </w:r>
      <w:r w:rsidR="00B176B6">
        <w:rPr>
          <w:rFonts w:cstheme="minorHAnsi"/>
        </w:rPr>
        <w:t>24.283,32</w:t>
      </w:r>
      <w:r w:rsidRPr="00DC225F">
        <w:rPr>
          <w:rFonts w:cstheme="minorHAnsi"/>
        </w:rPr>
        <w:t xml:space="preserve"> </w:t>
      </w:r>
      <w:r>
        <w:rPr>
          <w:rFonts w:cstheme="minorHAnsi"/>
        </w:rPr>
        <w:t>eur</w:t>
      </w:r>
      <w:r w:rsidR="00056A72">
        <w:rPr>
          <w:rFonts w:cstheme="minorHAnsi"/>
        </w:rPr>
        <w:t>a</w:t>
      </w:r>
      <w:r>
        <w:rPr>
          <w:rFonts w:cstheme="minorHAnsi"/>
        </w:rPr>
        <w:t xml:space="preserve"> ili </w:t>
      </w:r>
      <w:r w:rsidR="00B176B6">
        <w:rPr>
          <w:rFonts w:cstheme="minorHAnsi"/>
        </w:rPr>
        <w:t>68,40</w:t>
      </w:r>
      <w:r w:rsidRPr="00861DCD">
        <w:rPr>
          <w:rFonts w:cstheme="minorHAnsi"/>
        </w:rPr>
        <w:t>% godišnjeg plana, od čega se najveći dio odnosi n</w:t>
      </w:r>
      <w:r>
        <w:rPr>
          <w:rFonts w:cstheme="minorHAnsi"/>
        </w:rPr>
        <w:t xml:space="preserve">a rashode za energiju </w:t>
      </w:r>
      <w:r w:rsidR="005215BC">
        <w:rPr>
          <w:rFonts w:cstheme="minorHAnsi"/>
        </w:rPr>
        <w:t xml:space="preserve">u iznosu od </w:t>
      </w:r>
      <w:r w:rsidR="00B176B6">
        <w:rPr>
          <w:rFonts w:cstheme="minorHAnsi"/>
        </w:rPr>
        <w:t>13.188,61</w:t>
      </w:r>
      <w:r>
        <w:rPr>
          <w:rFonts w:cstheme="minorHAnsi"/>
        </w:rPr>
        <w:t xml:space="preserve"> eur</w:t>
      </w:r>
      <w:r w:rsidR="00056A72">
        <w:rPr>
          <w:rFonts w:cstheme="minorHAnsi"/>
        </w:rPr>
        <w:t>a</w:t>
      </w:r>
      <w:r w:rsidR="00B176B6">
        <w:rPr>
          <w:rFonts w:cstheme="minorHAnsi"/>
        </w:rPr>
        <w:t>. Navedeni rashodi bilježe povećanje od 9,08% što se u najvećem dij</w:t>
      </w:r>
      <w:r w:rsidR="00161444">
        <w:rPr>
          <w:rFonts w:cstheme="minorHAnsi"/>
        </w:rPr>
        <w:t>elu odnosi na troškove goriva.</w:t>
      </w:r>
    </w:p>
    <w:p w14:paraId="230517BD" w14:textId="6DD03340" w:rsidR="00C851F9" w:rsidRPr="000C6009" w:rsidRDefault="000B3A72" w:rsidP="000C6009">
      <w:pPr>
        <w:spacing w:before="120" w:after="120" w:line="240" w:lineRule="auto"/>
        <w:jc w:val="both"/>
        <w:rPr>
          <w:rFonts w:cstheme="minorHAnsi"/>
        </w:rPr>
      </w:pPr>
      <w:r w:rsidRPr="000C6009">
        <w:rPr>
          <w:rFonts w:cstheme="minorHAnsi"/>
          <w:b/>
        </w:rPr>
        <w:t xml:space="preserve">Naknade troškova zaposlenima </w:t>
      </w:r>
      <w:r w:rsidR="00C851F9" w:rsidRPr="000C6009">
        <w:rPr>
          <w:rFonts w:cstheme="minorHAnsi"/>
        </w:rPr>
        <w:t>i</w:t>
      </w:r>
      <w:r w:rsidR="000C239F" w:rsidRPr="000C6009">
        <w:rPr>
          <w:rFonts w:cstheme="minorHAnsi"/>
        </w:rPr>
        <w:t>zvršen</w:t>
      </w:r>
      <w:r w:rsidR="002A3C82">
        <w:rPr>
          <w:rFonts w:cstheme="minorHAnsi"/>
        </w:rPr>
        <w:t>e</w:t>
      </w:r>
      <w:r w:rsidR="000C239F" w:rsidRPr="000C6009">
        <w:rPr>
          <w:rFonts w:cstheme="minorHAnsi"/>
        </w:rPr>
        <w:t xml:space="preserve"> </w:t>
      </w:r>
      <w:r w:rsidR="002A3C82" w:rsidRPr="000C6009">
        <w:rPr>
          <w:rFonts w:cstheme="minorHAnsi"/>
        </w:rPr>
        <w:t xml:space="preserve">su </w:t>
      </w:r>
      <w:r w:rsidR="002A3C82">
        <w:rPr>
          <w:rFonts w:cstheme="minorHAnsi"/>
        </w:rPr>
        <w:t xml:space="preserve">u iznosu od </w:t>
      </w:r>
      <w:r w:rsidR="00E8727D">
        <w:rPr>
          <w:rFonts w:cstheme="minorHAnsi"/>
        </w:rPr>
        <w:t>33.456,40</w:t>
      </w:r>
      <w:r w:rsidR="000C6009">
        <w:rPr>
          <w:rFonts w:cstheme="minorHAnsi"/>
        </w:rPr>
        <w:t xml:space="preserve"> </w:t>
      </w:r>
      <w:r w:rsidR="002A3C82">
        <w:rPr>
          <w:rFonts w:cstheme="minorHAnsi"/>
        </w:rPr>
        <w:t>eur</w:t>
      </w:r>
      <w:r w:rsidR="00056A72">
        <w:rPr>
          <w:rFonts w:cstheme="minorHAnsi"/>
        </w:rPr>
        <w:t>a</w:t>
      </w:r>
      <w:r w:rsidR="000C239F" w:rsidRPr="000C6009">
        <w:rPr>
          <w:rFonts w:cstheme="minorHAnsi"/>
        </w:rPr>
        <w:t xml:space="preserve"> ili </w:t>
      </w:r>
      <w:r w:rsidR="00E8727D">
        <w:rPr>
          <w:rFonts w:cstheme="minorHAnsi"/>
        </w:rPr>
        <w:t>98,40</w:t>
      </w:r>
      <w:r w:rsidR="00C851F9" w:rsidRPr="000C6009">
        <w:rPr>
          <w:rFonts w:cstheme="minorHAnsi"/>
        </w:rPr>
        <w:t>% godišnjeg plana</w:t>
      </w:r>
      <w:r w:rsidR="00E01F45" w:rsidRPr="000C6009">
        <w:rPr>
          <w:rFonts w:cstheme="minorHAnsi"/>
        </w:rPr>
        <w:t>,</w:t>
      </w:r>
      <w:r w:rsidR="00C851F9" w:rsidRPr="000C6009">
        <w:rPr>
          <w:rFonts w:cstheme="minorHAnsi"/>
        </w:rPr>
        <w:t xml:space="preserve"> što je </w:t>
      </w:r>
      <w:r w:rsidR="000C239F" w:rsidRPr="000C6009">
        <w:rPr>
          <w:rFonts w:cstheme="minorHAnsi"/>
        </w:rPr>
        <w:t xml:space="preserve">za </w:t>
      </w:r>
      <w:r w:rsidR="00E8727D">
        <w:rPr>
          <w:rFonts w:cstheme="minorHAnsi"/>
        </w:rPr>
        <w:t>12.221,62</w:t>
      </w:r>
      <w:r w:rsidR="002A3C82">
        <w:rPr>
          <w:rFonts w:cstheme="minorHAnsi"/>
        </w:rPr>
        <w:t xml:space="preserve"> eur</w:t>
      </w:r>
      <w:r w:rsidR="00372EC6">
        <w:rPr>
          <w:rFonts w:cstheme="minorHAnsi"/>
        </w:rPr>
        <w:t xml:space="preserve">a ili </w:t>
      </w:r>
      <w:r w:rsidR="00E8727D">
        <w:rPr>
          <w:rFonts w:cstheme="minorHAnsi"/>
        </w:rPr>
        <w:t>57,55</w:t>
      </w:r>
      <w:r w:rsidRPr="000C6009">
        <w:rPr>
          <w:rFonts w:cstheme="minorHAnsi"/>
        </w:rPr>
        <w:t xml:space="preserve">% </w:t>
      </w:r>
      <w:r w:rsidR="00E8727D">
        <w:rPr>
          <w:rFonts w:cstheme="minorHAnsi"/>
        </w:rPr>
        <w:t>više</w:t>
      </w:r>
      <w:r w:rsidRPr="000C6009">
        <w:rPr>
          <w:rFonts w:cstheme="minorHAnsi"/>
        </w:rPr>
        <w:t xml:space="preserve"> u usporedbi s </w:t>
      </w:r>
      <w:r w:rsidR="000C6009">
        <w:rPr>
          <w:rFonts w:cstheme="minorHAnsi"/>
        </w:rPr>
        <w:t>p</w:t>
      </w:r>
      <w:r w:rsidRPr="000C6009">
        <w:rPr>
          <w:rFonts w:cstheme="minorHAnsi"/>
        </w:rPr>
        <w:t>rethodn</w:t>
      </w:r>
      <w:r w:rsidR="000C6009">
        <w:rPr>
          <w:rFonts w:cstheme="minorHAnsi"/>
        </w:rPr>
        <w:t>om</w:t>
      </w:r>
      <w:r w:rsidRPr="000C6009">
        <w:rPr>
          <w:rFonts w:cstheme="minorHAnsi"/>
        </w:rPr>
        <w:t xml:space="preserve"> godin</w:t>
      </w:r>
      <w:r w:rsidR="000C6009">
        <w:rPr>
          <w:rFonts w:cstheme="minorHAnsi"/>
        </w:rPr>
        <w:t>om</w:t>
      </w:r>
      <w:r w:rsidRPr="000C6009">
        <w:rPr>
          <w:rFonts w:cstheme="minorHAnsi"/>
        </w:rPr>
        <w:t xml:space="preserve">, a </w:t>
      </w:r>
      <w:r w:rsidR="00372EC6">
        <w:rPr>
          <w:rFonts w:cstheme="minorHAnsi"/>
        </w:rPr>
        <w:t>odnose se na</w:t>
      </w:r>
      <w:r w:rsidRPr="000C6009">
        <w:rPr>
          <w:rFonts w:cstheme="minorHAnsi"/>
        </w:rPr>
        <w:t xml:space="preserve"> naknade za prijevoz</w:t>
      </w:r>
      <w:r w:rsidR="00AF763A" w:rsidRPr="000C6009">
        <w:rPr>
          <w:rFonts w:cstheme="minorHAnsi"/>
        </w:rPr>
        <w:t xml:space="preserve"> na posao i s posla,</w:t>
      </w:r>
      <w:r w:rsidRPr="000C6009">
        <w:rPr>
          <w:rFonts w:cstheme="minorHAnsi"/>
        </w:rPr>
        <w:t xml:space="preserve"> za službena putovanja i stručno usa</w:t>
      </w:r>
      <w:r w:rsidR="00DC0948" w:rsidRPr="000C6009">
        <w:rPr>
          <w:rFonts w:cstheme="minorHAnsi"/>
        </w:rPr>
        <w:t xml:space="preserve">vršavanje zaposlenika. </w:t>
      </w:r>
      <w:r w:rsidR="00E8727D">
        <w:rPr>
          <w:rFonts w:cstheme="minorHAnsi"/>
        </w:rPr>
        <w:t>Povećanje se u najvećem dijelu odnosi na rashode za stručna usavršavanja zaposlenika.</w:t>
      </w:r>
    </w:p>
    <w:p w14:paraId="34246EC3" w14:textId="7B03859C" w:rsidR="000B6926" w:rsidRPr="000C6009" w:rsidRDefault="000B3A72" w:rsidP="000C6009">
      <w:pPr>
        <w:spacing w:before="120" w:after="120" w:line="240" w:lineRule="auto"/>
        <w:jc w:val="both"/>
        <w:rPr>
          <w:rFonts w:cstheme="minorHAnsi"/>
        </w:rPr>
      </w:pPr>
      <w:r w:rsidRPr="000C6009">
        <w:rPr>
          <w:rFonts w:cstheme="minorHAnsi"/>
          <w:b/>
        </w:rPr>
        <w:t>Ostali nespomenuti rashodi poslovanja</w:t>
      </w:r>
      <w:r w:rsidR="00E01F45" w:rsidRPr="000C6009">
        <w:rPr>
          <w:rFonts w:cstheme="minorHAnsi"/>
        </w:rPr>
        <w:t xml:space="preserve"> izvršeni </w:t>
      </w:r>
      <w:r w:rsidR="002A3C82" w:rsidRPr="000C6009">
        <w:rPr>
          <w:rFonts w:cstheme="minorHAnsi"/>
        </w:rPr>
        <w:t xml:space="preserve">su </w:t>
      </w:r>
      <w:r w:rsidR="00E01F45" w:rsidRPr="000C6009">
        <w:rPr>
          <w:rFonts w:cstheme="minorHAnsi"/>
        </w:rPr>
        <w:t xml:space="preserve">u iznosu </w:t>
      </w:r>
      <w:r w:rsidR="00464E8D" w:rsidRPr="000C6009">
        <w:rPr>
          <w:rFonts w:cstheme="minorHAnsi"/>
        </w:rPr>
        <w:t xml:space="preserve">od </w:t>
      </w:r>
      <w:r w:rsidR="00E8727D">
        <w:rPr>
          <w:rFonts w:cstheme="minorHAnsi"/>
        </w:rPr>
        <w:t>47.455,63</w:t>
      </w:r>
      <w:r w:rsidR="002A3C82">
        <w:rPr>
          <w:rFonts w:cstheme="minorHAnsi"/>
        </w:rPr>
        <w:t xml:space="preserve"> eur</w:t>
      </w:r>
      <w:r w:rsidR="00372EC6">
        <w:rPr>
          <w:rFonts w:cstheme="minorHAnsi"/>
        </w:rPr>
        <w:t>a</w:t>
      </w:r>
      <w:r w:rsidR="00E01F45" w:rsidRPr="000C6009">
        <w:rPr>
          <w:rFonts w:cstheme="minorHAnsi"/>
        </w:rPr>
        <w:t xml:space="preserve"> ili</w:t>
      </w:r>
      <w:r w:rsidR="003C0B8B">
        <w:rPr>
          <w:rFonts w:cstheme="minorHAnsi"/>
        </w:rPr>
        <w:t xml:space="preserve"> </w:t>
      </w:r>
      <w:r w:rsidR="00E8727D">
        <w:rPr>
          <w:rFonts w:cstheme="minorHAnsi"/>
        </w:rPr>
        <w:t>69,06</w:t>
      </w:r>
      <w:r w:rsidR="001369B8" w:rsidRPr="000C6009">
        <w:rPr>
          <w:rFonts w:cstheme="minorHAnsi"/>
        </w:rPr>
        <w:t xml:space="preserve">% godišnjeg plana, što je </w:t>
      </w:r>
      <w:r w:rsidR="00E01F45" w:rsidRPr="000C6009">
        <w:rPr>
          <w:rFonts w:cstheme="minorHAnsi"/>
        </w:rPr>
        <w:t xml:space="preserve">za </w:t>
      </w:r>
      <w:r w:rsidR="00E8727D">
        <w:rPr>
          <w:rFonts w:cstheme="minorHAnsi"/>
        </w:rPr>
        <w:t>8.949,59</w:t>
      </w:r>
      <w:r w:rsidR="002A3C82">
        <w:rPr>
          <w:rFonts w:cstheme="minorHAnsi"/>
        </w:rPr>
        <w:t xml:space="preserve"> eur</w:t>
      </w:r>
      <w:r w:rsidR="00372EC6">
        <w:rPr>
          <w:rFonts w:cstheme="minorHAnsi"/>
        </w:rPr>
        <w:t>a</w:t>
      </w:r>
      <w:r w:rsidR="00834DD4" w:rsidRPr="000C6009">
        <w:rPr>
          <w:rFonts w:cstheme="minorHAnsi"/>
        </w:rPr>
        <w:t xml:space="preserve"> ili za </w:t>
      </w:r>
      <w:r w:rsidR="00E8727D">
        <w:rPr>
          <w:rFonts w:cstheme="minorHAnsi"/>
        </w:rPr>
        <w:t>23,24</w:t>
      </w:r>
      <w:r w:rsidR="00D14BF2">
        <w:rPr>
          <w:rFonts w:cstheme="minorHAnsi"/>
        </w:rPr>
        <w:t>%</w:t>
      </w:r>
      <w:r w:rsidRPr="000C6009">
        <w:rPr>
          <w:rFonts w:cstheme="minorHAnsi"/>
        </w:rPr>
        <w:t xml:space="preserve"> </w:t>
      </w:r>
      <w:r w:rsidR="00E8727D">
        <w:rPr>
          <w:rFonts w:cstheme="minorHAnsi"/>
        </w:rPr>
        <w:t xml:space="preserve">više </w:t>
      </w:r>
      <w:r w:rsidRPr="000C6009">
        <w:rPr>
          <w:rFonts w:cstheme="minorHAnsi"/>
        </w:rPr>
        <w:t>u usporedbi s istim razdobljem prethod</w:t>
      </w:r>
      <w:r w:rsidR="000B6926" w:rsidRPr="000C6009">
        <w:rPr>
          <w:rFonts w:cstheme="minorHAnsi"/>
        </w:rPr>
        <w:t xml:space="preserve">ne godine, a isti se odnose na </w:t>
      </w:r>
      <w:r w:rsidR="00872911">
        <w:rPr>
          <w:rFonts w:cstheme="minorHAnsi"/>
        </w:rPr>
        <w:t>n</w:t>
      </w:r>
      <w:r w:rsidRPr="000C6009">
        <w:rPr>
          <w:rFonts w:cstheme="minorHAnsi"/>
        </w:rPr>
        <w:t xml:space="preserve">aknade za rad </w:t>
      </w:r>
      <w:r w:rsidR="00834DD4" w:rsidRPr="000C6009">
        <w:rPr>
          <w:rFonts w:cstheme="minorHAnsi"/>
        </w:rPr>
        <w:t>U</w:t>
      </w:r>
      <w:r w:rsidR="00635EEC" w:rsidRPr="000C6009">
        <w:rPr>
          <w:rFonts w:cstheme="minorHAnsi"/>
        </w:rPr>
        <w:t>pravnog vijeća</w:t>
      </w:r>
      <w:r w:rsidRPr="000C6009">
        <w:rPr>
          <w:rFonts w:cstheme="minorHAnsi"/>
        </w:rPr>
        <w:t>, rashode za reprezentaciju, premije osiguranja,</w:t>
      </w:r>
      <w:r w:rsidR="00E8727D">
        <w:rPr>
          <w:rFonts w:cstheme="minorHAnsi"/>
        </w:rPr>
        <w:t xml:space="preserve"> članarine, pristojbe i naknade, troškove sudskih postupaka</w:t>
      </w:r>
      <w:r w:rsidR="00FF0559" w:rsidRPr="000C6009">
        <w:rPr>
          <w:rFonts w:cstheme="minorHAnsi"/>
        </w:rPr>
        <w:t xml:space="preserve"> </w:t>
      </w:r>
      <w:r w:rsidRPr="000C6009">
        <w:rPr>
          <w:rFonts w:cstheme="minorHAnsi"/>
        </w:rPr>
        <w:t>i ostale rashode poslovanja</w:t>
      </w:r>
      <w:r w:rsidR="00E01F45" w:rsidRPr="000C6009">
        <w:rPr>
          <w:rFonts w:cstheme="minorHAnsi"/>
        </w:rPr>
        <w:t>.</w:t>
      </w:r>
      <w:r w:rsidR="00E8727D">
        <w:rPr>
          <w:rFonts w:cstheme="minorHAnsi"/>
        </w:rPr>
        <w:t xml:space="preserve"> Najveći udio u povećanju odnosi se na pristojbe i naknade u iznosu od 1.533,97 eura i troškove sudskih postu</w:t>
      </w:r>
      <w:r w:rsidR="00D23587">
        <w:rPr>
          <w:rFonts w:cstheme="minorHAnsi"/>
        </w:rPr>
        <w:t>paka u iznosu od 9.496,89 eura.</w:t>
      </w:r>
    </w:p>
    <w:p w14:paraId="1157D37F" w14:textId="77777777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  <w:b/>
        </w:rPr>
        <w:t>Financijski rashodi</w:t>
      </w:r>
    </w:p>
    <w:p w14:paraId="695444DE" w14:textId="56969740" w:rsidR="008F0229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Financijski rashod</w:t>
      </w:r>
      <w:r w:rsidR="00FF0559">
        <w:rPr>
          <w:rFonts w:cstheme="minorHAnsi"/>
        </w:rPr>
        <w:t>i izvršeni s</w:t>
      </w:r>
      <w:r w:rsidR="00DC0948">
        <w:rPr>
          <w:rFonts w:cstheme="minorHAnsi"/>
        </w:rPr>
        <w:t>u u iz</w:t>
      </w:r>
      <w:r w:rsidR="00E01F45">
        <w:rPr>
          <w:rFonts w:cstheme="minorHAnsi"/>
        </w:rPr>
        <w:t>nosu</w:t>
      </w:r>
      <w:r w:rsidR="00464E8D">
        <w:rPr>
          <w:rFonts w:cstheme="minorHAnsi"/>
        </w:rPr>
        <w:t xml:space="preserve"> od </w:t>
      </w:r>
      <w:r w:rsidR="00F50E5D">
        <w:rPr>
          <w:rFonts w:cstheme="minorHAnsi"/>
        </w:rPr>
        <w:t>80.508,43</w:t>
      </w:r>
      <w:r w:rsidR="002A3C82">
        <w:rPr>
          <w:rFonts w:cstheme="minorHAnsi"/>
        </w:rPr>
        <w:t xml:space="preserve"> eur</w:t>
      </w:r>
      <w:r w:rsidR="00CB584B">
        <w:rPr>
          <w:rFonts w:cstheme="minorHAnsi"/>
        </w:rPr>
        <w:t>a</w:t>
      </w:r>
      <w:r w:rsidR="00E01F45">
        <w:rPr>
          <w:rFonts w:cstheme="minorHAnsi"/>
        </w:rPr>
        <w:t xml:space="preserve"> ili </w:t>
      </w:r>
      <w:r w:rsidR="00F50E5D">
        <w:rPr>
          <w:rFonts w:cstheme="minorHAnsi"/>
        </w:rPr>
        <w:t>94,97</w:t>
      </w:r>
      <w:r w:rsidRPr="00CD5B87">
        <w:rPr>
          <w:rFonts w:cstheme="minorHAnsi"/>
        </w:rPr>
        <w:t>% godišnjeg plana</w:t>
      </w:r>
      <w:r w:rsidR="00FF0559">
        <w:rPr>
          <w:rFonts w:cstheme="minorHAnsi"/>
        </w:rPr>
        <w:t>,</w:t>
      </w:r>
      <w:r w:rsidRPr="00CD5B87">
        <w:rPr>
          <w:rFonts w:cstheme="minorHAnsi"/>
        </w:rPr>
        <w:t xml:space="preserve"> što je </w:t>
      </w:r>
      <w:r w:rsidR="00905D38">
        <w:rPr>
          <w:rFonts w:cstheme="minorHAnsi"/>
        </w:rPr>
        <w:t xml:space="preserve">za </w:t>
      </w:r>
      <w:r w:rsidR="00F50E5D">
        <w:rPr>
          <w:rFonts w:cstheme="minorHAnsi"/>
        </w:rPr>
        <w:t>49.113,19</w:t>
      </w:r>
      <w:r w:rsidR="00905D38">
        <w:rPr>
          <w:rFonts w:cstheme="minorHAnsi"/>
        </w:rPr>
        <w:t xml:space="preserve"> eura više</w:t>
      </w:r>
      <w:r w:rsidR="002B14FC">
        <w:rPr>
          <w:rFonts w:cstheme="minorHAnsi"/>
        </w:rPr>
        <w:t xml:space="preserve"> u odnosu na prethodnu godinu.</w:t>
      </w:r>
      <w:r w:rsidRPr="00CD5B87">
        <w:rPr>
          <w:rFonts w:cstheme="minorHAnsi"/>
        </w:rPr>
        <w:t xml:space="preserve"> Financijski rashodi odnose se na rash</w:t>
      </w:r>
      <w:r w:rsidR="00E01F45">
        <w:rPr>
          <w:rFonts w:cstheme="minorHAnsi"/>
        </w:rPr>
        <w:t xml:space="preserve">ode </w:t>
      </w:r>
      <w:r w:rsidR="00372EC6">
        <w:rPr>
          <w:rFonts w:cstheme="minorHAnsi"/>
        </w:rPr>
        <w:t xml:space="preserve">za </w:t>
      </w:r>
      <w:r w:rsidR="00372EC6">
        <w:rPr>
          <w:rFonts w:ascii="Calibri" w:hAnsi="Calibri" w:cs="Calibri"/>
        </w:rPr>
        <w:t xml:space="preserve">kamate za primljene kredite </w:t>
      </w:r>
      <w:r w:rsidR="00677DB7">
        <w:rPr>
          <w:rFonts w:cstheme="minorHAnsi"/>
        </w:rPr>
        <w:t xml:space="preserve">u iznosu od </w:t>
      </w:r>
      <w:r w:rsidR="00F50E5D">
        <w:rPr>
          <w:rFonts w:cstheme="minorHAnsi"/>
        </w:rPr>
        <w:t>23.184,47</w:t>
      </w:r>
      <w:r w:rsidR="00677DB7">
        <w:rPr>
          <w:rFonts w:cstheme="minorHAnsi"/>
        </w:rPr>
        <w:t xml:space="preserve"> eur</w:t>
      </w:r>
      <w:r w:rsidR="00905D38">
        <w:rPr>
          <w:rFonts w:cstheme="minorHAnsi"/>
        </w:rPr>
        <w:t>a</w:t>
      </w:r>
      <w:r w:rsidR="00E01F45">
        <w:rPr>
          <w:rFonts w:cstheme="minorHAnsi"/>
        </w:rPr>
        <w:t>,</w:t>
      </w:r>
      <w:r w:rsidRPr="00CD5B87">
        <w:rPr>
          <w:rFonts w:cstheme="minorHAnsi"/>
        </w:rPr>
        <w:t xml:space="preserve"> </w:t>
      </w:r>
      <w:r w:rsidR="00FF0559">
        <w:rPr>
          <w:rFonts w:cstheme="minorHAnsi"/>
        </w:rPr>
        <w:t xml:space="preserve">platnog prometa </w:t>
      </w:r>
      <w:r w:rsidR="00E01F45">
        <w:rPr>
          <w:rFonts w:cstheme="minorHAnsi"/>
        </w:rPr>
        <w:t xml:space="preserve">i bankarske usluge u iznosu od </w:t>
      </w:r>
      <w:r w:rsidR="00F50E5D">
        <w:rPr>
          <w:rFonts w:cstheme="minorHAnsi"/>
        </w:rPr>
        <w:t>2.046,49</w:t>
      </w:r>
      <w:r w:rsidR="00677DB7">
        <w:rPr>
          <w:rFonts w:cstheme="minorHAnsi"/>
        </w:rPr>
        <w:t xml:space="preserve"> eur</w:t>
      </w:r>
      <w:r w:rsidR="00905D38">
        <w:rPr>
          <w:rFonts w:cstheme="minorHAnsi"/>
        </w:rPr>
        <w:t>a</w:t>
      </w:r>
      <w:r w:rsidR="00F50E5D">
        <w:rPr>
          <w:rFonts w:cstheme="minorHAnsi"/>
        </w:rPr>
        <w:t xml:space="preserve"> te na zatezne kamate u iznosu od 55.277,47 eura</w:t>
      </w:r>
      <w:r w:rsidRPr="00CD5B87">
        <w:rPr>
          <w:rFonts w:cstheme="minorHAnsi"/>
        </w:rPr>
        <w:t>. Rashodi za kamate odnose se na kamate na dugoročni kredit ko</w:t>
      </w:r>
      <w:r w:rsidR="001A5C8E">
        <w:rPr>
          <w:rFonts w:cstheme="minorHAnsi"/>
        </w:rPr>
        <w:t xml:space="preserve">d Privredne banke </w:t>
      </w:r>
      <w:r w:rsidR="003D3C93">
        <w:rPr>
          <w:rFonts w:cstheme="minorHAnsi"/>
        </w:rPr>
        <w:t xml:space="preserve">Zagreb </w:t>
      </w:r>
      <w:r w:rsidR="001A5C8E">
        <w:rPr>
          <w:rFonts w:cstheme="minorHAnsi"/>
        </w:rPr>
        <w:t>d.d</w:t>
      </w:r>
      <w:r w:rsidR="00357F92">
        <w:rPr>
          <w:rFonts w:cstheme="minorHAnsi"/>
        </w:rPr>
        <w:t xml:space="preserve">. </w:t>
      </w:r>
      <w:r w:rsidR="008F0229">
        <w:rPr>
          <w:rFonts w:cstheme="minorHAnsi"/>
        </w:rPr>
        <w:t>P</w:t>
      </w:r>
      <w:r w:rsidR="008F0229" w:rsidRPr="008F0229">
        <w:rPr>
          <w:rFonts w:cstheme="minorHAnsi"/>
        </w:rPr>
        <w:t>ovećanje navedenih rashoda</w:t>
      </w:r>
      <w:r w:rsidR="008F0229">
        <w:rPr>
          <w:rFonts w:cstheme="minorHAnsi"/>
        </w:rPr>
        <w:t xml:space="preserve"> u najvećem dijelu odnosi se na </w:t>
      </w:r>
      <w:r w:rsidR="005C470E">
        <w:rPr>
          <w:rFonts w:cstheme="minorHAnsi"/>
        </w:rPr>
        <w:t>rashod za zateznu kamatu u iznosu 49.086,82 eura (</w:t>
      </w:r>
      <w:r w:rsidR="008F0229" w:rsidRPr="008F0229">
        <w:rPr>
          <w:rFonts w:cstheme="minorHAnsi"/>
        </w:rPr>
        <w:t xml:space="preserve">posljedica je isplaćene plaće za period od 2016. do 2019. godine temeljem okončane sudske presude </w:t>
      </w:r>
      <w:proofErr w:type="spellStart"/>
      <w:r w:rsidR="008F0229" w:rsidRPr="008F0229">
        <w:rPr>
          <w:rFonts w:cstheme="minorHAnsi"/>
        </w:rPr>
        <w:t>Posl</w:t>
      </w:r>
      <w:proofErr w:type="spellEnd"/>
      <w:r w:rsidR="008F0229" w:rsidRPr="008F0229">
        <w:rPr>
          <w:rFonts w:cstheme="minorHAnsi"/>
        </w:rPr>
        <w:t>. br. Pr-433/2019-57)</w:t>
      </w:r>
      <w:r w:rsidR="005C470E">
        <w:rPr>
          <w:rFonts w:cstheme="minorHAnsi"/>
        </w:rPr>
        <w:t>.</w:t>
      </w:r>
    </w:p>
    <w:p w14:paraId="4759D477" w14:textId="60E2E6F1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  <w:b/>
        </w:rPr>
        <w:t>Pomoći dane u inozemstvo i unutar općeg proračuna</w:t>
      </w:r>
    </w:p>
    <w:p w14:paraId="66A0DCFE" w14:textId="5DCDE415" w:rsidR="00143C56" w:rsidRPr="00CD5B87" w:rsidRDefault="00357F92" w:rsidP="005C7803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Rashodi za </w:t>
      </w:r>
      <w:r w:rsidR="00FF0559">
        <w:rPr>
          <w:rFonts w:cstheme="minorHAnsi"/>
        </w:rPr>
        <w:t>pomoći u inozemstvo</w:t>
      </w:r>
      <w:r w:rsidR="000B3A72" w:rsidRPr="00CD5B87">
        <w:rPr>
          <w:rFonts w:cstheme="minorHAnsi"/>
        </w:rPr>
        <w:t xml:space="preserve"> i unutar općeg proračuna izvršeni su u iznosu </w:t>
      </w:r>
      <w:r w:rsidR="00464E8D">
        <w:rPr>
          <w:rFonts w:cstheme="minorHAnsi"/>
        </w:rPr>
        <w:t xml:space="preserve">od </w:t>
      </w:r>
      <w:r w:rsidR="005C470E">
        <w:rPr>
          <w:rFonts w:cstheme="minorHAnsi"/>
        </w:rPr>
        <w:t>803.862,43</w:t>
      </w:r>
      <w:r w:rsidR="00E01F45">
        <w:rPr>
          <w:rFonts w:cstheme="minorHAnsi"/>
          <w:color w:val="000000"/>
        </w:rPr>
        <w:t xml:space="preserve"> eura,</w:t>
      </w:r>
      <w:r w:rsidR="00E01F45">
        <w:rPr>
          <w:rFonts w:cstheme="minorHAnsi"/>
        </w:rPr>
        <w:t xml:space="preserve"> što predstavlja </w:t>
      </w:r>
      <w:r w:rsidR="005C470E">
        <w:rPr>
          <w:rFonts w:cstheme="minorHAnsi"/>
        </w:rPr>
        <w:t>92,36</w:t>
      </w:r>
      <w:r w:rsidR="000B3A72" w:rsidRPr="00CD5B87">
        <w:rPr>
          <w:rFonts w:cstheme="minorHAnsi"/>
        </w:rPr>
        <w:t>% godišnjeg plana</w:t>
      </w:r>
      <w:r w:rsidR="00E01F45">
        <w:rPr>
          <w:rFonts w:cstheme="minorHAnsi"/>
        </w:rPr>
        <w:t>,</w:t>
      </w:r>
      <w:r w:rsidR="000B3A72" w:rsidRPr="00CD5B87">
        <w:rPr>
          <w:rFonts w:cstheme="minorHAnsi"/>
        </w:rPr>
        <w:t xml:space="preserve"> </w:t>
      </w:r>
      <w:r w:rsidR="0089474E">
        <w:rPr>
          <w:rFonts w:cstheme="minorHAnsi"/>
        </w:rPr>
        <w:t xml:space="preserve">a </w:t>
      </w:r>
      <w:r w:rsidR="00E01F45" w:rsidRPr="00CD5B87">
        <w:rPr>
          <w:rFonts w:cstheme="minorHAnsi"/>
        </w:rPr>
        <w:t xml:space="preserve">odnose se na </w:t>
      </w:r>
      <w:r w:rsidR="0089474E">
        <w:rPr>
          <w:rFonts w:cstheme="minorHAnsi"/>
        </w:rPr>
        <w:t>sredstva doznačena Gradu Rijeci</w:t>
      </w:r>
      <w:r>
        <w:rPr>
          <w:rFonts w:cstheme="minorHAnsi"/>
        </w:rPr>
        <w:t xml:space="preserve"> </w:t>
      </w:r>
      <w:r w:rsidR="000B3A72" w:rsidRPr="00CD5B87">
        <w:rPr>
          <w:rFonts w:cstheme="minorHAnsi"/>
        </w:rPr>
        <w:t xml:space="preserve">na temelju odredbi Pravilnika o naplati godišnje naknade za uporabu javnih cesta </w:t>
      </w:r>
      <w:r>
        <w:rPr>
          <w:rFonts w:cstheme="minorHAnsi"/>
        </w:rPr>
        <w:t>što</w:t>
      </w:r>
      <w:r w:rsidR="000B3A72" w:rsidRPr="00CD5B87">
        <w:rPr>
          <w:rFonts w:cstheme="minorHAnsi"/>
        </w:rPr>
        <w:t xml:space="preserve"> se plaća pri registraciji </w:t>
      </w:r>
      <w:r>
        <w:rPr>
          <w:rFonts w:cstheme="minorHAnsi"/>
        </w:rPr>
        <w:t xml:space="preserve">motornih i priključnih </w:t>
      </w:r>
      <w:r w:rsidR="00DC0948">
        <w:rPr>
          <w:rFonts w:cstheme="minorHAnsi"/>
        </w:rPr>
        <w:t>vozila („</w:t>
      </w:r>
      <w:r w:rsidR="00CC1CF3">
        <w:rPr>
          <w:rFonts w:cstheme="minorHAnsi"/>
        </w:rPr>
        <w:t>Narode novine“</w:t>
      </w:r>
      <w:r w:rsidR="000B3A72" w:rsidRPr="00CD5B87">
        <w:rPr>
          <w:rFonts w:cstheme="minorHAnsi"/>
        </w:rPr>
        <w:t xml:space="preserve">, broj </w:t>
      </w:r>
      <w:r>
        <w:rPr>
          <w:rFonts w:cstheme="minorHAnsi"/>
        </w:rPr>
        <w:t>130/12</w:t>
      </w:r>
      <w:r w:rsidR="000B3A72" w:rsidRPr="00CD5B87">
        <w:rPr>
          <w:rFonts w:cstheme="minorHAnsi"/>
        </w:rPr>
        <w:t>) na osnovu kojih je propisano da se iz sredstava godišnje naknade izdvaja dio gradovima s više od 35.000 stanovnika</w:t>
      </w:r>
      <w:r w:rsidR="00AF763A">
        <w:rPr>
          <w:rFonts w:cstheme="minorHAnsi"/>
        </w:rPr>
        <w:t>,</w:t>
      </w:r>
      <w:r w:rsidR="000B3A72" w:rsidRPr="00CD5B87">
        <w:rPr>
          <w:rFonts w:cstheme="minorHAnsi"/>
        </w:rPr>
        <w:t xml:space="preserve"> te gradovima koji su sjedišta županija (veliki gradovi) za </w:t>
      </w:r>
      <w:r w:rsidR="00187C57">
        <w:rPr>
          <w:rFonts w:cstheme="minorHAnsi"/>
        </w:rPr>
        <w:t>održavanje nerazvrstanih cesta</w:t>
      </w:r>
      <w:r w:rsidR="000B3A72" w:rsidRPr="00CD5B87">
        <w:rPr>
          <w:rFonts w:cstheme="minorHAnsi"/>
        </w:rPr>
        <w:t xml:space="preserve">. </w:t>
      </w:r>
      <w:r>
        <w:rPr>
          <w:rFonts w:cstheme="minorHAnsi"/>
        </w:rPr>
        <w:t xml:space="preserve">Odredbama navedenog Pravilnika </w:t>
      </w:r>
      <w:r w:rsidR="000B3A72" w:rsidRPr="00CD5B87">
        <w:rPr>
          <w:rFonts w:cstheme="minorHAnsi"/>
        </w:rPr>
        <w:t>propisani su udjeli velikih gradova u prihodu od godišnje naknade k</w:t>
      </w:r>
      <w:r w:rsidR="00143C56">
        <w:rPr>
          <w:rFonts w:cstheme="minorHAnsi"/>
        </w:rPr>
        <w:t>oji za Grad Rijeku iznosi 6,8%.</w:t>
      </w:r>
    </w:p>
    <w:p w14:paraId="1D39BF90" w14:textId="77777777" w:rsidR="000B3A72" w:rsidRPr="00CD5B87" w:rsidRDefault="000B3A72" w:rsidP="005C7803">
      <w:pPr>
        <w:spacing w:before="120" w:after="120" w:line="240" w:lineRule="auto"/>
        <w:jc w:val="both"/>
        <w:rPr>
          <w:rFonts w:cstheme="minorHAnsi"/>
          <w:b/>
        </w:rPr>
      </w:pPr>
      <w:r w:rsidRPr="00CD5B87">
        <w:rPr>
          <w:rFonts w:cstheme="minorHAnsi"/>
          <w:b/>
        </w:rPr>
        <w:t>Ostali rashodi</w:t>
      </w:r>
    </w:p>
    <w:p w14:paraId="241B06B1" w14:textId="78A723B1" w:rsidR="00D340BD" w:rsidRDefault="000B3A72" w:rsidP="005C780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 xml:space="preserve">Ostali rashodi </w:t>
      </w:r>
      <w:r w:rsidR="0089474E">
        <w:rPr>
          <w:rFonts w:cstheme="minorHAnsi"/>
        </w:rPr>
        <w:t xml:space="preserve">izvršeni su u iznosu od </w:t>
      </w:r>
      <w:r w:rsidR="005C470E">
        <w:rPr>
          <w:rFonts w:cstheme="minorHAnsi"/>
        </w:rPr>
        <w:t>25.109,69</w:t>
      </w:r>
      <w:r w:rsidR="004451EE">
        <w:rPr>
          <w:rFonts w:cstheme="minorHAnsi"/>
        </w:rPr>
        <w:t xml:space="preserve"> eur</w:t>
      </w:r>
      <w:r w:rsidR="00905D38">
        <w:rPr>
          <w:rFonts w:cstheme="minorHAnsi"/>
        </w:rPr>
        <w:t>a</w:t>
      </w:r>
      <w:r w:rsidR="0089474E">
        <w:rPr>
          <w:rFonts w:cstheme="minorHAnsi"/>
        </w:rPr>
        <w:t xml:space="preserve"> ili </w:t>
      </w:r>
      <w:r w:rsidR="005C470E">
        <w:rPr>
          <w:rFonts w:cstheme="minorHAnsi"/>
        </w:rPr>
        <w:t>23,04</w:t>
      </w:r>
      <w:r w:rsidR="002B14FC">
        <w:rPr>
          <w:rFonts w:cstheme="minorHAnsi"/>
        </w:rPr>
        <w:t>%</w:t>
      </w:r>
      <w:r w:rsidR="0089474E">
        <w:rPr>
          <w:rFonts w:cstheme="minorHAnsi"/>
        </w:rPr>
        <w:t xml:space="preserve"> godišnjeg plana</w:t>
      </w:r>
      <w:r w:rsidR="004F1294">
        <w:rPr>
          <w:rFonts w:cstheme="minorHAnsi"/>
        </w:rPr>
        <w:t xml:space="preserve">, </w:t>
      </w:r>
      <w:r w:rsidR="00464E8D">
        <w:rPr>
          <w:rFonts w:cstheme="minorHAnsi"/>
        </w:rPr>
        <w:t xml:space="preserve">a </w:t>
      </w:r>
      <w:r w:rsidR="004F1294">
        <w:rPr>
          <w:rFonts w:cstheme="minorHAnsi"/>
        </w:rPr>
        <w:t xml:space="preserve">odnose se na isplatu štete po </w:t>
      </w:r>
      <w:r w:rsidR="0089474E">
        <w:rPr>
          <w:rFonts w:cstheme="minorHAnsi"/>
        </w:rPr>
        <w:t xml:space="preserve">pravomoćnim </w:t>
      </w:r>
      <w:r w:rsidR="004F1294">
        <w:rPr>
          <w:rFonts w:cstheme="minorHAnsi"/>
        </w:rPr>
        <w:t>s</w:t>
      </w:r>
      <w:r w:rsidR="0089474E">
        <w:rPr>
          <w:rFonts w:cstheme="minorHAnsi"/>
        </w:rPr>
        <w:t xml:space="preserve">udskim postupcima koji nisu pokriveni policom iz odgovornosti. </w:t>
      </w:r>
      <w:r w:rsidR="002B14FC">
        <w:rPr>
          <w:rFonts w:cstheme="minorHAnsi"/>
        </w:rPr>
        <w:t xml:space="preserve">Navedeni rashodi </w:t>
      </w:r>
      <w:r w:rsidR="001A6194">
        <w:rPr>
          <w:rFonts w:cstheme="minorHAnsi"/>
        </w:rPr>
        <w:t>izvršeni</w:t>
      </w:r>
      <w:r w:rsidR="002B14FC">
        <w:rPr>
          <w:rFonts w:cstheme="minorHAnsi"/>
        </w:rPr>
        <w:t xml:space="preserve"> su u </w:t>
      </w:r>
      <w:r w:rsidR="005C470E">
        <w:rPr>
          <w:rFonts w:cstheme="minorHAnsi"/>
        </w:rPr>
        <w:t>većem</w:t>
      </w:r>
      <w:r w:rsidR="002B14FC">
        <w:rPr>
          <w:rFonts w:cstheme="minorHAnsi"/>
        </w:rPr>
        <w:t xml:space="preserve"> iznosu u odnosu na prethodnu godinu za </w:t>
      </w:r>
      <w:r w:rsidR="005C470E">
        <w:rPr>
          <w:rFonts w:cstheme="minorHAnsi"/>
        </w:rPr>
        <w:t>20.334,07</w:t>
      </w:r>
      <w:r w:rsidR="002B14FC">
        <w:rPr>
          <w:rFonts w:cstheme="minorHAnsi"/>
        </w:rPr>
        <w:t xml:space="preserve"> eur</w:t>
      </w:r>
      <w:r w:rsidR="00905D38">
        <w:rPr>
          <w:rFonts w:cstheme="minorHAnsi"/>
        </w:rPr>
        <w:t>a</w:t>
      </w:r>
      <w:r w:rsidR="00341995">
        <w:rPr>
          <w:rFonts w:cstheme="minorHAnsi"/>
        </w:rPr>
        <w:t xml:space="preserve"> zbog</w:t>
      </w:r>
      <w:r w:rsidR="005C470E">
        <w:rPr>
          <w:rFonts w:cstheme="minorHAnsi"/>
        </w:rPr>
        <w:t xml:space="preserve"> većeg broja isplaćenih šteta u odnosu na protekli period.</w:t>
      </w:r>
    </w:p>
    <w:p w14:paraId="15BEDE57" w14:textId="01D037CD" w:rsidR="000B3A72" w:rsidRPr="00CD5B87" w:rsidRDefault="005F69E2" w:rsidP="00EC6EAF">
      <w:pPr>
        <w:pStyle w:val="Naslov4"/>
      </w:pPr>
      <w:bookmarkStart w:id="38" w:name="_Toc224047551"/>
      <w:r w:rsidRPr="00CD5B87">
        <w:t xml:space="preserve">RASHODI </w:t>
      </w:r>
      <w:r w:rsidRPr="00D340BD">
        <w:t>ZA</w:t>
      </w:r>
      <w:r w:rsidRPr="00CD5B87">
        <w:t xml:space="preserve"> </w:t>
      </w:r>
      <w:r w:rsidRPr="00D340BD">
        <w:t>NABAVU</w:t>
      </w:r>
      <w:r w:rsidRPr="00CD5B87">
        <w:t xml:space="preserve"> NEFINANCIJSKE IMOVINE</w:t>
      </w:r>
      <w:bookmarkEnd w:id="38"/>
    </w:p>
    <w:p w14:paraId="162213B7" w14:textId="5D6414C3" w:rsidR="005C470E" w:rsidRPr="005C470E" w:rsidRDefault="005C470E" w:rsidP="005C470E">
      <w:pPr>
        <w:spacing w:before="120" w:after="120" w:line="240" w:lineRule="auto"/>
        <w:jc w:val="both"/>
        <w:rPr>
          <w:rFonts w:cstheme="minorHAnsi"/>
        </w:rPr>
      </w:pPr>
      <w:r w:rsidRPr="005C470E">
        <w:rPr>
          <w:rFonts w:cstheme="minorHAnsi"/>
        </w:rPr>
        <w:t>Rashodi za nabavu nefinancijske imovine u 2025. godin</w:t>
      </w:r>
      <w:r w:rsidR="00845228">
        <w:rPr>
          <w:rFonts w:cstheme="minorHAnsi"/>
        </w:rPr>
        <w:t>i</w:t>
      </w:r>
      <w:r w:rsidRPr="005C470E">
        <w:rPr>
          <w:rFonts w:cstheme="minorHAnsi"/>
        </w:rPr>
        <w:t xml:space="preserve"> izvršeni su u iznosu od </w:t>
      </w:r>
      <w:r w:rsidR="00845228">
        <w:rPr>
          <w:rFonts w:cstheme="minorHAnsi"/>
        </w:rPr>
        <w:t>2.924.509,33</w:t>
      </w:r>
      <w:r w:rsidRPr="005C470E">
        <w:rPr>
          <w:rFonts w:cstheme="minorHAnsi"/>
        </w:rPr>
        <w:t xml:space="preserve"> eura ili </w:t>
      </w:r>
      <w:r w:rsidR="00845228">
        <w:rPr>
          <w:rFonts w:cstheme="minorHAnsi"/>
        </w:rPr>
        <w:t>70,82</w:t>
      </w:r>
      <w:r w:rsidRPr="005C470E">
        <w:rPr>
          <w:rFonts w:cstheme="minorHAnsi"/>
        </w:rPr>
        <w:t>% godišnjeg plana.</w:t>
      </w:r>
    </w:p>
    <w:p w14:paraId="345B1006" w14:textId="3BBB8600" w:rsidR="005C470E" w:rsidRPr="005C470E" w:rsidRDefault="005C470E" w:rsidP="005C470E">
      <w:pPr>
        <w:spacing w:before="120" w:after="120" w:line="240" w:lineRule="auto"/>
        <w:jc w:val="both"/>
        <w:rPr>
          <w:rFonts w:cstheme="minorHAnsi"/>
        </w:rPr>
      </w:pPr>
      <w:r w:rsidRPr="005C470E">
        <w:rPr>
          <w:rFonts w:cstheme="minorHAnsi"/>
        </w:rPr>
        <w:t xml:space="preserve">Rashodi za nabavu </w:t>
      </w:r>
      <w:proofErr w:type="spellStart"/>
      <w:r w:rsidRPr="005C470E">
        <w:rPr>
          <w:rFonts w:cstheme="minorHAnsi"/>
        </w:rPr>
        <w:t>neproizvedene</w:t>
      </w:r>
      <w:proofErr w:type="spellEnd"/>
      <w:r w:rsidRPr="005C470E">
        <w:rPr>
          <w:rFonts w:cstheme="minorHAnsi"/>
        </w:rPr>
        <w:t xml:space="preserve"> dugotrajne imovine u </w:t>
      </w:r>
      <w:r w:rsidR="00D9009A">
        <w:rPr>
          <w:rFonts w:cstheme="minorHAnsi"/>
        </w:rPr>
        <w:t>2</w:t>
      </w:r>
      <w:r w:rsidRPr="005C470E">
        <w:rPr>
          <w:rFonts w:cstheme="minorHAnsi"/>
        </w:rPr>
        <w:t>025. godin</w:t>
      </w:r>
      <w:r w:rsidR="00D9009A">
        <w:rPr>
          <w:rFonts w:cstheme="minorHAnsi"/>
        </w:rPr>
        <w:t>i</w:t>
      </w:r>
      <w:r w:rsidRPr="005C470E">
        <w:rPr>
          <w:rFonts w:cstheme="minorHAnsi"/>
        </w:rPr>
        <w:t xml:space="preserve"> nisu izvršeni</w:t>
      </w:r>
      <w:r w:rsidR="00845228">
        <w:rPr>
          <w:rFonts w:cstheme="minorHAnsi"/>
        </w:rPr>
        <w:t>.</w:t>
      </w:r>
      <w:r w:rsidRPr="005C470E">
        <w:rPr>
          <w:rFonts w:cstheme="minorHAnsi"/>
        </w:rPr>
        <w:t xml:space="preserve"> Županijska uprava za ceste Primorsko – goranske županije u svom financijskom planu ima osigurana sredstva za izvlaštenja zemljišta na kojima se planiraju zahvati u korist gradnje i rekonstrukcije cesta.</w:t>
      </w:r>
      <w:r w:rsidR="00845228">
        <w:rPr>
          <w:rFonts w:cstheme="minorHAnsi"/>
        </w:rPr>
        <w:t xml:space="preserve"> U 2025. godini nisu okončani postupci izvlaštenja zemljišta pa prema tome nisu izvršavane isplate.</w:t>
      </w:r>
    </w:p>
    <w:p w14:paraId="24828708" w14:textId="568FA29F" w:rsidR="005C470E" w:rsidRPr="005C470E" w:rsidRDefault="005C470E" w:rsidP="005C470E">
      <w:pPr>
        <w:spacing w:before="120" w:after="120" w:line="240" w:lineRule="auto"/>
        <w:jc w:val="both"/>
        <w:rPr>
          <w:rFonts w:cstheme="minorHAnsi"/>
        </w:rPr>
      </w:pPr>
      <w:r w:rsidRPr="005C470E">
        <w:rPr>
          <w:rFonts w:cstheme="minorHAnsi"/>
        </w:rPr>
        <w:t xml:space="preserve">Rashodi za nabavu proizvedene dugotrajne imovine u 2025. godine izvršeni su u iznosu od </w:t>
      </w:r>
      <w:r w:rsidR="00845228">
        <w:rPr>
          <w:rFonts w:cstheme="minorHAnsi"/>
        </w:rPr>
        <w:t>2.924.509,33</w:t>
      </w:r>
      <w:r w:rsidRPr="005C470E">
        <w:rPr>
          <w:rFonts w:cstheme="minorHAnsi"/>
        </w:rPr>
        <w:t xml:space="preserve"> eura ili </w:t>
      </w:r>
      <w:r w:rsidR="00341995">
        <w:rPr>
          <w:rFonts w:cstheme="minorHAnsi"/>
        </w:rPr>
        <w:t>70,</w:t>
      </w:r>
      <w:r w:rsidR="005C4ECD">
        <w:rPr>
          <w:rFonts w:cstheme="minorHAnsi"/>
        </w:rPr>
        <w:t>90</w:t>
      </w:r>
      <w:r w:rsidRPr="005C470E">
        <w:rPr>
          <w:rFonts w:cstheme="minorHAnsi"/>
        </w:rPr>
        <w:t xml:space="preserve">% godišnje plana, te za </w:t>
      </w:r>
      <w:r w:rsidR="00845228">
        <w:rPr>
          <w:rFonts w:cstheme="minorHAnsi"/>
        </w:rPr>
        <w:t>1.942.362,60</w:t>
      </w:r>
      <w:r w:rsidRPr="005C470E">
        <w:rPr>
          <w:rFonts w:cstheme="minorHAnsi"/>
        </w:rPr>
        <w:t xml:space="preserve"> eura više u odnosu na isto razdoblje prethodne godine. Razlog povećanja rashoda odnosi se na ulaganj</w:t>
      </w:r>
      <w:r w:rsidR="00D9009A">
        <w:rPr>
          <w:rFonts w:cstheme="minorHAnsi"/>
        </w:rPr>
        <w:t>a</w:t>
      </w:r>
      <w:r w:rsidRPr="005C470E">
        <w:rPr>
          <w:rFonts w:cstheme="minorHAnsi"/>
        </w:rPr>
        <w:t xml:space="preserve"> u program gradnje cesta što povećava </w:t>
      </w:r>
      <w:r w:rsidR="00341995">
        <w:rPr>
          <w:rFonts w:cstheme="minorHAnsi"/>
        </w:rPr>
        <w:t xml:space="preserve">vrijednost </w:t>
      </w:r>
      <w:r w:rsidRPr="005C470E">
        <w:rPr>
          <w:rFonts w:cstheme="minorHAnsi"/>
        </w:rPr>
        <w:t>dug</w:t>
      </w:r>
      <w:r w:rsidR="00341995">
        <w:rPr>
          <w:rFonts w:cstheme="minorHAnsi"/>
        </w:rPr>
        <w:t>otrajne imovine</w:t>
      </w:r>
      <w:r w:rsidRPr="005C470E">
        <w:rPr>
          <w:rFonts w:cstheme="minorHAnsi"/>
        </w:rPr>
        <w:t xml:space="preserve"> Županijske uprave za ceste Primorsko-goranske županije.</w:t>
      </w:r>
    </w:p>
    <w:p w14:paraId="6F290150" w14:textId="38D7B548" w:rsidR="005C470E" w:rsidRDefault="005C470E" w:rsidP="004A72CA">
      <w:pPr>
        <w:spacing w:before="120" w:after="120" w:line="240" w:lineRule="auto"/>
        <w:jc w:val="both"/>
        <w:rPr>
          <w:rFonts w:cstheme="minorHAnsi"/>
        </w:rPr>
      </w:pPr>
      <w:r w:rsidRPr="005C470E">
        <w:rPr>
          <w:rFonts w:cstheme="minorHAnsi"/>
        </w:rPr>
        <w:t xml:space="preserve">Izvršeni rashodi za nabavu proizvedene dugotrajne imovine odnose se na rashode za gradnju i rekonstrukciju cesta u iznosu od </w:t>
      </w:r>
      <w:r w:rsidR="00845228">
        <w:rPr>
          <w:rFonts w:cstheme="minorHAnsi"/>
        </w:rPr>
        <w:t>2.882.245,85</w:t>
      </w:r>
      <w:r w:rsidRPr="005C470E">
        <w:rPr>
          <w:rFonts w:cstheme="minorHAnsi"/>
        </w:rPr>
        <w:t xml:space="preserve"> eura ili </w:t>
      </w:r>
      <w:r w:rsidR="00845228">
        <w:rPr>
          <w:rFonts w:cstheme="minorHAnsi"/>
        </w:rPr>
        <w:t>70,80</w:t>
      </w:r>
      <w:r w:rsidRPr="005C470E">
        <w:rPr>
          <w:rFonts w:cstheme="minorHAnsi"/>
        </w:rPr>
        <w:t xml:space="preserve">% godišnjeg plana, na rashode za nabavu uredske opreme, namještaja i komunikacijske opreme u iznosu od </w:t>
      </w:r>
      <w:r w:rsidR="00845228">
        <w:rPr>
          <w:rFonts w:cstheme="minorHAnsi"/>
        </w:rPr>
        <w:t>9.856,98</w:t>
      </w:r>
      <w:r w:rsidRPr="005C470E">
        <w:rPr>
          <w:rFonts w:cstheme="minorHAnsi"/>
        </w:rPr>
        <w:t xml:space="preserve"> eura ili </w:t>
      </w:r>
      <w:r w:rsidR="00845228">
        <w:rPr>
          <w:rFonts w:cstheme="minorHAnsi"/>
        </w:rPr>
        <w:t>89,72</w:t>
      </w:r>
      <w:r w:rsidRPr="005C470E">
        <w:rPr>
          <w:rFonts w:cstheme="minorHAnsi"/>
        </w:rPr>
        <w:t>% godišnjeg plana</w:t>
      </w:r>
      <w:r w:rsidR="00845228">
        <w:rPr>
          <w:rFonts w:cstheme="minorHAnsi"/>
        </w:rPr>
        <w:t xml:space="preserve">, na rashode za </w:t>
      </w:r>
      <w:r w:rsidR="00845228">
        <w:rPr>
          <w:rFonts w:cstheme="minorHAnsi"/>
        </w:rPr>
        <w:lastRenderedPageBreak/>
        <w:t>nabavku komunikacijske opreme u iznosu od 932,00 eura ili 54,82% godišnjeg plana</w:t>
      </w:r>
      <w:r w:rsidRPr="005C470E">
        <w:rPr>
          <w:rFonts w:cstheme="minorHAnsi"/>
        </w:rPr>
        <w:t xml:space="preserve"> te na rashode za nabavu prijevoznog sredstva u iznosu od 31.474,50 e</w:t>
      </w:r>
      <w:r w:rsidR="00FE7898">
        <w:rPr>
          <w:rFonts w:cstheme="minorHAnsi"/>
        </w:rPr>
        <w:t>ura ili 78,69% godišnjeg plana.</w:t>
      </w:r>
    </w:p>
    <w:p w14:paraId="3A9598CD" w14:textId="3591807D" w:rsidR="00D9009A" w:rsidRDefault="00D9009A" w:rsidP="004A72CA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Najveći udio rashoda za nabavu proizvedene dugotrajne imovine i to 98,60% odnosi se na ulaganja u program gradnje cesta na području Primorsko-goranske županije. Najveći udio planiranih sredstava odnosi se na ulaganja u cestu ŽC5033 lokalitet </w:t>
      </w:r>
      <w:proofErr w:type="spellStart"/>
      <w:r>
        <w:rPr>
          <w:rFonts w:cstheme="minorHAnsi"/>
        </w:rPr>
        <w:t>Kuželj</w:t>
      </w:r>
      <w:proofErr w:type="spellEnd"/>
      <w:r w:rsidR="00341995">
        <w:rPr>
          <w:rFonts w:cstheme="minorHAnsi"/>
        </w:rPr>
        <w:t xml:space="preserve"> </w:t>
      </w:r>
      <w:r>
        <w:rPr>
          <w:rFonts w:cstheme="minorHAnsi"/>
        </w:rPr>
        <w:t>-</w:t>
      </w:r>
      <w:r w:rsidR="00341995">
        <w:rPr>
          <w:rFonts w:cstheme="minorHAnsi"/>
        </w:rPr>
        <w:t xml:space="preserve"> izmicanje županijske ceste ŽC</w:t>
      </w:r>
      <w:r>
        <w:rPr>
          <w:rFonts w:cstheme="minorHAnsi"/>
        </w:rPr>
        <w:t xml:space="preserve">5033 izvan naselja </w:t>
      </w:r>
      <w:proofErr w:type="spellStart"/>
      <w:r>
        <w:rPr>
          <w:rFonts w:cstheme="minorHAnsi"/>
        </w:rPr>
        <w:t>Kuželj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Grbajel</w:t>
      </w:r>
      <w:proofErr w:type="spellEnd"/>
      <w:r>
        <w:rPr>
          <w:rFonts w:cstheme="minorHAnsi"/>
        </w:rPr>
        <w:t xml:space="preserve"> i Guče Selo. Radovi se odvijaju u skladu sa planiranom dinamikom te se </w:t>
      </w:r>
      <w:r w:rsidR="00341995">
        <w:rPr>
          <w:rFonts w:cstheme="minorHAnsi"/>
        </w:rPr>
        <w:t>daljnje izvršenje očekuje u tijeku</w:t>
      </w:r>
      <w:r>
        <w:rPr>
          <w:rFonts w:cstheme="minorHAnsi"/>
        </w:rPr>
        <w:t xml:space="preserve"> 2026. godine.</w:t>
      </w:r>
    </w:p>
    <w:p w14:paraId="6A1706C6" w14:textId="0A590CC8" w:rsidR="00D9009A" w:rsidRPr="00857B9A" w:rsidRDefault="00D9009A" w:rsidP="004A72CA">
      <w:pPr>
        <w:spacing w:before="120" w:after="120" w:line="240" w:lineRule="auto"/>
        <w:jc w:val="both"/>
        <w:rPr>
          <w:rFonts w:cstheme="minorHAnsi"/>
        </w:rPr>
      </w:pPr>
      <w:r w:rsidRPr="00857B9A">
        <w:rPr>
          <w:rFonts w:cstheme="minorHAnsi"/>
        </w:rPr>
        <w:t xml:space="preserve">Detaljnije obrazloženje dinamike radova gradnje cesta nalazi se na stranicama od </w:t>
      </w:r>
      <w:r w:rsidR="00857B9A" w:rsidRPr="00053E50">
        <w:rPr>
          <w:rFonts w:cstheme="minorHAnsi"/>
        </w:rPr>
        <w:t>33</w:t>
      </w:r>
      <w:r w:rsidRPr="00053E50">
        <w:rPr>
          <w:rFonts w:cstheme="minorHAnsi"/>
        </w:rPr>
        <w:t xml:space="preserve">. do </w:t>
      </w:r>
      <w:r w:rsidR="00857B9A" w:rsidRPr="00053E50">
        <w:rPr>
          <w:rFonts w:cstheme="minorHAnsi"/>
        </w:rPr>
        <w:t>34</w:t>
      </w:r>
      <w:r w:rsidRPr="00053E50">
        <w:rPr>
          <w:rFonts w:cstheme="minorHAnsi"/>
        </w:rPr>
        <w:t>.</w:t>
      </w:r>
      <w:r w:rsidRPr="00857B9A">
        <w:rPr>
          <w:rFonts w:cstheme="minorHAnsi"/>
        </w:rPr>
        <w:t xml:space="preserve"> u tabelarnom prikazu razvrstani po projektima i aktivnostima.</w:t>
      </w:r>
    </w:p>
    <w:p w14:paraId="2046E125" w14:textId="28AB787C" w:rsidR="002C402A" w:rsidRDefault="005C3EB6" w:rsidP="004A72CA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U T</w:t>
      </w:r>
      <w:r w:rsidR="004A72CA">
        <w:rPr>
          <w:rFonts w:cstheme="minorHAnsi"/>
        </w:rPr>
        <w:t>ablici 7. koja slijedi prikazani su izvršeni</w:t>
      </w:r>
      <w:r w:rsidR="004A72CA" w:rsidRPr="00CD5B87">
        <w:rPr>
          <w:rFonts w:cstheme="minorHAnsi"/>
        </w:rPr>
        <w:t xml:space="preserve"> </w:t>
      </w:r>
      <w:r w:rsidR="008C1C8E">
        <w:rPr>
          <w:rFonts w:cstheme="minorHAnsi"/>
        </w:rPr>
        <w:t>rashodi za nabavu nefinancijske imovine</w:t>
      </w:r>
      <w:r w:rsidR="004A72CA">
        <w:rPr>
          <w:rFonts w:cstheme="minorHAnsi"/>
        </w:rPr>
        <w:t xml:space="preserve"> </w:t>
      </w:r>
      <w:r w:rsidR="004A72CA" w:rsidRPr="00CD5B87">
        <w:rPr>
          <w:rFonts w:cstheme="minorHAnsi"/>
        </w:rPr>
        <w:t>Županijske uprave za ceste</w:t>
      </w:r>
      <w:r w:rsidR="005215BC">
        <w:rPr>
          <w:rFonts w:cstheme="minorHAnsi"/>
        </w:rPr>
        <w:t xml:space="preserve"> Primorsko-goranske županije u </w:t>
      </w:r>
      <w:r w:rsidR="004A72CA" w:rsidRPr="00CD5B87">
        <w:rPr>
          <w:rFonts w:cstheme="minorHAnsi"/>
        </w:rPr>
        <w:t>202</w:t>
      </w:r>
      <w:r w:rsidR="00341995">
        <w:rPr>
          <w:rFonts w:cstheme="minorHAnsi"/>
        </w:rPr>
        <w:t>5</w:t>
      </w:r>
      <w:r w:rsidR="004A72CA" w:rsidRPr="00CD5B87">
        <w:rPr>
          <w:rFonts w:cstheme="minorHAnsi"/>
        </w:rPr>
        <w:t>. godin</w:t>
      </w:r>
      <w:r w:rsidR="005215BC">
        <w:rPr>
          <w:rFonts w:cstheme="minorHAnsi"/>
        </w:rPr>
        <w:t>i</w:t>
      </w:r>
      <w:r w:rsidR="004A72CA" w:rsidRPr="00CD5B87">
        <w:rPr>
          <w:rFonts w:cstheme="minorHAnsi"/>
        </w:rPr>
        <w:t xml:space="preserve"> s usp</w:t>
      </w:r>
      <w:r w:rsidR="004A72CA">
        <w:rPr>
          <w:rFonts w:cstheme="minorHAnsi"/>
        </w:rPr>
        <w:t>orednim pokazateljima izvršenja</w:t>
      </w:r>
      <w:r w:rsidR="004A72CA" w:rsidRPr="00CD5B87">
        <w:rPr>
          <w:rFonts w:cstheme="minorHAnsi"/>
        </w:rPr>
        <w:t xml:space="preserve"> u 202</w:t>
      </w:r>
      <w:r w:rsidR="00341995">
        <w:rPr>
          <w:rFonts w:cstheme="minorHAnsi"/>
        </w:rPr>
        <w:t>4</w:t>
      </w:r>
      <w:r w:rsidR="005215BC">
        <w:rPr>
          <w:rFonts w:cstheme="minorHAnsi"/>
        </w:rPr>
        <w:t>. godini</w:t>
      </w:r>
      <w:r w:rsidR="00341995">
        <w:rPr>
          <w:rFonts w:cstheme="minorHAnsi"/>
        </w:rPr>
        <w:t xml:space="preserve"> </w:t>
      </w:r>
      <w:r w:rsidR="00341995" w:rsidRPr="00D17105">
        <w:rPr>
          <w:rFonts w:cstheme="minorHAnsi"/>
        </w:rPr>
        <w:t>i izvornog plana za 2025. godinu</w:t>
      </w:r>
      <w:r w:rsidR="00341995">
        <w:rPr>
          <w:rFonts w:cstheme="minorHAnsi"/>
        </w:rPr>
        <w:t>.</w:t>
      </w:r>
    </w:p>
    <w:p w14:paraId="0FAF7BA2" w14:textId="4DD3B3C7" w:rsidR="00F8051A" w:rsidRDefault="00F8051A" w:rsidP="00F8051A">
      <w:pPr>
        <w:pStyle w:val="Opisslike"/>
        <w:keepNext/>
        <w:spacing w:after="120"/>
        <w:ind w:left="907" w:hanging="907"/>
        <w:rPr>
          <w:i w:val="0"/>
          <w:color w:val="222A35" w:themeColor="text2" w:themeShade="80"/>
          <w:sz w:val="22"/>
          <w:szCs w:val="22"/>
        </w:rPr>
      </w:pPr>
      <w:bookmarkStart w:id="39" w:name="_Toc224047007"/>
      <w:r w:rsidRPr="00F8051A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begin"/>
      </w:r>
      <w:r w:rsidRPr="00F8051A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F8051A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7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end"/>
      </w:r>
      <w:r w:rsidRPr="00F8051A">
        <w:rPr>
          <w:i w:val="0"/>
          <w:color w:val="222A35" w:themeColor="text2" w:themeShade="80"/>
          <w:sz w:val="22"/>
          <w:szCs w:val="22"/>
        </w:rPr>
        <w:t>. Izvršenje rashoda za</w:t>
      </w:r>
      <w:r w:rsidR="00D10C51">
        <w:rPr>
          <w:i w:val="0"/>
          <w:color w:val="222A35" w:themeColor="text2" w:themeShade="80"/>
          <w:sz w:val="22"/>
          <w:szCs w:val="22"/>
        </w:rPr>
        <w:t xml:space="preserve"> nabavu nefinancijske imovine u</w:t>
      </w:r>
      <w:r w:rsidRPr="00F8051A">
        <w:rPr>
          <w:i w:val="0"/>
          <w:color w:val="222A35" w:themeColor="text2" w:themeShade="80"/>
          <w:sz w:val="22"/>
          <w:szCs w:val="22"/>
        </w:rPr>
        <w:t xml:space="preserve"> 202</w:t>
      </w:r>
      <w:r w:rsidR="008C5525">
        <w:rPr>
          <w:i w:val="0"/>
          <w:color w:val="222A35" w:themeColor="text2" w:themeShade="80"/>
          <w:sz w:val="22"/>
          <w:szCs w:val="22"/>
        </w:rPr>
        <w:t>5</w:t>
      </w:r>
      <w:r w:rsidR="00D10C51">
        <w:rPr>
          <w:i w:val="0"/>
          <w:color w:val="222A35" w:themeColor="text2" w:themeShade="80"/>
          <w:sz w:val="22"/>
          <w:szCs w:val="22"/>
        </w:rPr>
        <w:t>. godini</w:t>
      </w:r>
      <w:r w:rsidRPr="00F8051A">
        <w:rPr>
          <w:i w:val="0"/>
          <w:color w:val="222A35" w:themeColor="text2" w:themeShade="80"/>
          <w:sz w:val="22"/>
          <w:szCs w:val="22"/>
        </w:rPr>
        <w:t xml:space="preserve"> s uspor</w:t>
      </w:r>
      <w:r w:rsidR="00D10C51">
        <w:rPr>
          <w:i w:val="0"/>
          <w:color w:val="222A35" w:themeColor="text2" w:themeShade="80"/>
          <w:sz w:val="22"/>
          <w:szCs w:val="22"/>
        </w:rPr>
        <w:t>ednim pokazateljima izvršenja u</w:t>
      </w:r>
      <w:r w:rsidRPr="00F8051A">
        <w:rPr>
          <w:i w:val="0"/>
          <w:color w:val="222A35" w:themeColor="text2" w:themeShade="80"/>
          <w:sz w:val="22"/>
          <w:szCs w:val="22"/>
        </w:rPr>
        <w:t xml:space="preserve"> 202</w:t>
      </w:r>
      <w:r w:rsidR="008C5525">
        <w:rPr>
          <w:i w:val="0"/>
          <w:color w:val="222A35" w:themeColor="text2" w:themeShade="80"/>
          <w:sz w:val="22"/>
          <w:szCs w:val="22"/>
        </w:rPr>
        <w:t>4</w:t>
      </w:r>
      <w:r w:rsidRPr="00F8051A">
        <w:rPr>
          <w:i w:val="0"/>
          <w:color w:val="222A35" w:themeColor="text2" w:themeShade="80"/>
          <w:sz w:val="22"/>
          <w:szCs w:val="22"/>
        </w:rPr>
        <w:t>. godin</w:t>
      </w:r>
      <w:r w:rsidR="00D10C51">
        <w:rPr>
          <w:i w:val="0"/>
          <w:color w:val="222A35" w:themeColor="text2" w:themeShade="80"/>
          <w:sz w:val="22"/>
          <w:szCs w:val="22"/>
        </w:rPr>
        <w:t>i</w:t>
      </w:r>
      <w:r w:rsidR="00341995" w:rsidRPr="00341995">
        <w:rPr>
          <w:rFonts w:cstheme="minorHAnsi"/>
          <w:i w:val="0"/>
          <w:color w:val="222A35" w:themeColor="text2" w:themeShade="80"/>
          <w:sz w:val="22"/>
          <w:szCs w:val="22"/>
        </w:rPr>
        <w:t xml:space="preserve"> </w:t>
      </w:r>
      <w:r w:rsidR="00341995">
        <w:rPr>
          <w:rFonts w:cstheme="minorHAnsi"/>
          <w:i w:val="0"/>
          <w:color w:val="222A35" w:themeColor="text2" w:themeShade="80"/>
          <w:sz w:val="22"/>
          <w:szCs w:val="22"/>
        </w:rPr>
        <w:t>i izvornog plana za 2025. godinu</w:t>
      </w:r>
      <w:bookmarkEnd w:id="39"/>
    </w:p>
    <w:tbl>
      <w:tblPr>
        <w:tblW w:w="9758" w:type="dxa"/>
        <w:jc w:val="center"/>
        <w:tblLook w:val="04A0" w:firstRow="1" w:lastRow="0" w:firstColumn="1" w:lastColumn="0" w:noHBand="0" w:noVBand="1"/>
      </w:tblPr>
      <w:tblGrid>
        <w:gridCol w:w="874"/>
        <w:gridCol w:w="4058"/>
        <w:gridCol w:w="1041"/>
        <w:gridCol w:w="1180"/>
        <w:gridCol w:w="1180"/>
        <w:gridCol w:w="719"/>
        <w:gridCol w:w="706"/>
      </w:tblGrid>
      <w:tr w:rsidR="008C5525" w:rsidRPr="003C035D" w14:paraId="5651399D" w14:textId="77777777" w:rsidTr="008C5525">
        <w:trPr>
          <w:trHeight w:val="48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76664A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Brojčana </w:t>
            </w: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oznaka</w:t>
            </w:r>
          </w:p>
        </w:tc>
        <w:tc>
          <w:tcPr>
            <w:tcW w:w="4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3ED6B6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Naziv računa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BFD5F0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7F3F83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</w:t>
            </w: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B470EF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5D73D7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5./3. 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31D1FB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5./4. </w:t>
            </w:r>
          </w:p>
        </w:tc>
      </w:tr>
      <w:tr w:rsidR="008C5525" w:rsidRPr="003C035D" w14:paraId="06548A80" w14:textId="77777777" w:rsidTr="008C5525">
        <w:trPr>
          <w:trHeight w:val="82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1C150E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1606579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218CF5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2936BF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C260983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47D568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0D2E980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7.</w:t>
            </w:r>
          </w:p>
        </w:tc>
      </w:tr>
      <w:tr w:rsidR="008C5525" w:rsidRPr="003C035D" w14:paraId="670EC826" w14:textId="77777777" w:rsidTr="008C55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74521069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0B4C8A07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257E80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984.046,73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16CA12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4.129.775,30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F6ECB0D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2.924.509,33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8709DEB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297,19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367254D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70,82</w:t>
            </w:r>
          </w:p>
        </w:tc>
      </w:tr>
      <w:tr w:rsidR="006950E4" w:rsidRPr="003C035D" w14:paraId="58EA6767" w14:textId="77777777" w:rsidTr="006950E4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213717" w14:textId="77777777" w:rsidR="006950E4" w:rsidRPr="003C035D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4B4CAA" w14:textId="77777777" w:rsidR="006950E4" w:rsidRPr="003C035D" w:rsidRDefault="006950E4" w:rsidP="00695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Rashodi za nabavu </w:t>
            </w:r>
            <w:proofErr w:type="spellStart"/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C8F165" w14:textId="77777777" w:rsidR="006950E4" w:rsidRPr="003C035D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E18F26" w14:textId="77777777" w:rsidR="006950E4" w:rsidRPr="003C035D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3D8E61" w14:textId="77777777" w:rsidR="006950E4" w:rsidRPr="003C035D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8BF674" w14:textId="47204845" w:rsidR="006950E4" w:rsidRPr="003C035D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3C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7AAA78" w14:textId="2564414B" w:rsidR="006950E4" w:rsidRPr="003C035D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93C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950E4" w:rsidRPr="003C035D" w14:paraId="5F5544D3" w14:textId="77777777" w:rsidTr="006950E4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C1E5" w14:textId="77777777" w:rsidR="006950E4" w:rsidRPr="003C035D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421C" w14:textId="77777777" w:rsidR="006950E4" w:rsidRPr="003C035D" w:rsidRDefault="006950E4" w:rsidP="0069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Materijalna imovina - prirodna bogatstva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16CC" w14:textId="77777777" w:rsidR="006950E4" w:rsidRPr="003C035D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C55CC" w14:textId="77777777" w:rsidR="006950E4" w:rsidRPr="003C035D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423BD" w14:textId="77777777" w:rsidR="006950E4" w:rsidRPr="003C035D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DF14" w14:textId="473FC4D8" w:rsidR="006950E4" w:rsidRPr="003C035D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3C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DECE" w14:textId="62B83B24" w:rsidR="006950E4" w:rsidRPr="003C035D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3C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950E4" w:rsidRPr="003C035D" w14:paraId="729096F9" w14:textId="77777777" w:rsidTr="006950E4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E3123" w14:textId="77777777" w:rsidR="006950E4" w:rsidRPr="003C035D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4111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E76E" w14:textId="77777777" w:rsidR="006950E4" w:rsidRPr="003C035D" w:rsidRDefault="006950E4" w:rsidP="0069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E2707" w14:textId="77777777" w:rsidR="006950E4" w:rsidRPr="003C035D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BF6A2" w14:textId="77777777" w:rsidR="006950E4" w:rsidRPr="003C035D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17C72" w14:textId="77777777" w:rsidR="006950E4" w:rsidRPr="003C035D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FE1DB" w14:textId="719DC43D" w:rsidR="006950E4" w:rsidRPr="003C035D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3C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4A20" w14:textId="32173816" w:rsidR="006950E4" w:rsidRPr="003C035D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93CE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8C5525" w:rsidRPr="003C035D" w14:paraId="795AC259" w14:textId="77777777" w:rsidTr="008C55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FFCB722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0A63C1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A192C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982.146,73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88571F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4.124.775,30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832C02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2.924.509,33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3C2A5D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297,77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31D8E6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70,90</w:t>
            </w:r>
          </w:p>
        </w:tc>
      </w:tr>
      <w:tr w:rsidR="008C5525" w:rsidRPr="003C035D" w14:paraId="271143F3" w14:textId="77777777" w:rsidTr="008C55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C586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C5C73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Građevinski objekti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9F8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952.317,46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B4879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4.071.088,52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8024D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2.882.245,85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D3497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302,66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5EEC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70,80</w:t>
            </w:r>
          </w:p>
        </w:tc>
      </w:tr>
      <w:tr w:rsidR="008C5525" w:rsidRPr="003C035D" w14:paraId="6FED86F6" w14:textId="77777777" w:rsidTr="008C55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8E4D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4213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15B0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Ceste, željeznice i ostali prometni objekti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4C220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952.317,46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82083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4.071.088,52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42817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2.882.245,85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E6C6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302,66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33D6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70,80</w:t>
            </w:r>
          </w:p>
        </w:tc>
      </w:tr>
      <w:tr w:rsidR="008C5525" w:rsidRPr="003C035D" w14:paraId="34B32238" w14:textId="77777777" w:rsidTr="008C55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F6CB4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9E712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616C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10.935,29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05BCE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13.686,78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EB313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10.788,98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8D15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98,66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4CC5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78,83</w:t>
            </w:r>
          </w:p>
        </w:tc>
      </w:tr>
      <w:tr w:rsidR="008C5525" w:rsidRPr="003C035D" w14:paraId="1B31B2EC" w14:textId="77777777" w:rsidTr="008C55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49389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CDCC4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Uredska oprema i namještaj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E178E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8.593,69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A7FF2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10.986,78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4D30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9.856,98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D2865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114,70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36B22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89,72</w:t>
            </w:r>
          </w:p>
        </w:tc>
      </w:tr>
      <w:tr w:rsidR="008C5525" w:rsidRPr="003C035D" w14:paraId="4751E5CA" w14:textId="77777777" w:rsidTr="008C55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9CAB8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4222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DD84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Komunikacijska oprema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07A4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982,10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EDA1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7052A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932,00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E07A1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94,90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9090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54,82</w:t>
            </w:r>
          </w:p>
        </w:tc>
      </w:tr>
      <w:tr w:rsidR="006950E4" w:rsidRPr="003C035D" w14:paraId="5BB087E4" w14:textId="77777777" w:rsidTr="006950E4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94B6E" w14:textId="77777777" w:rsidR="006950E4" w:rsidRPr="003C035D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74A8" w14:textId="77777777" w:rsidR="006950E4" w:rsidRPr="003C035D" w:rsidRDefault="006950E4" w:rsidP="0069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Oprema za održavanje i zaštitu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259F" w14:textId="77777777" w:rsidR="006950E4" w:rsidRPr="003C035D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637,50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F47BC" w14:textId="77777777" w:rsidR="006950E4" w:rsidRPr="003C035D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FE49E" w14:textId="77777777" w:rsidR="006950E4" w:rsidRPr="003C035D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5BD6" w14:textId="77DC13BA" w:rsidR="006950E4" w:rsidRPr="003C035D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D03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A03CC" w14:textId="6BD95AF8" w:rsidR="006950E4" w:rsidRPr="003C035D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D03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950E4" w:rsidRPr="003C035D" w14:paraId="41F8660E" w14:textId="77777777" w:rsidTr="006950E4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2D6B" w14:textId="77777777" w:rsidR="006950E4" w:rsidRPr="003C035D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4227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1174" w14:textId="77777777" w:rsidR="006950E4" w:rsidRPr="003C035D" w:rsidRDefault="006950E4" w:rsidP="0069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Uređaji, strojevi i oprema za ostale namjene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4FBB" w14:textId="77777777" w:rsidR="006950E4" w:rsidRPr="003C035D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68270" w14:textId="77777777" w:rsidR="006950E4" w:rsidRPr="003C035D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E3CC" w14:textId="77777777" w:rsidR="006950E4" w:rsidRPr="003C035D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CC2B" w14:textId="4B5CFDC8" w:rsidR="006950E4" w:rsidRPr="003C035D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D03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7D44" w14:textId="36BEA2C7" w:rsidR="006950E4" w:rsidRPr="003C035D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D03D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8C5525" w:rsidRPr="003C035D" w14:paraId="3AD13D82" w14:textId="77777777" w:rsidTr="008C55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0472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423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76FB0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Prijevozna sredstva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4B0E5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18.893,98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301B5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3F4A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31.474,50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DF1D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166,58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11E39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78,69</w:t>
            </w:r>
          </w:p>
        </w:tc>
      </w:tr>
      <w:tr w:rsidR="008C5525" w:rsidRPr="003C035D" w14:paraId="5F5A4463" w14:textId="77777777" w:rsidTr="008C5525">
        <w:trPr>
          <w:trHeight w:val="283"/>
          <w:jc w:val="center"/>
        </w:trPr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1850A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4231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77D1" w14:textId="77777777" w:rsidR="003C035D" w:rsidRPr="003C035D" w:rsidRDefault="003C035D" w:rsidP="003C03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Prijevozna sredstva u cestovnom prometu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8D0E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18.893,98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1CF1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0EA3" w14:textId="77777777" w:rsidR="003C035D" w:rsidRPr="003C035D" w:rsidRDefault="003C035D" w:rsidP="003C03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31.474,50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348D2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166,58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D96AC" w14:textId="77777777" w:rsidR="003C035D" w:rsidRPr="003C035D" w:rsidRDefault="003C035D" w:rsidP="003C03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C035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78,69</w:t>
            </w:r>
          </w:p>
        </w:tc>
      </w:tr>
    </w:tbl>
    <w:p w14:paraId="4F2CB723" w14:textId="77777777" w:rsidR="00C1393A" w:rsidRPr="00CD5B87" w:rsidRDefault="00C1393A" w:rsidP="00EC6EAF">
      <w:pPr>
        <w:pStyle w:val="Naslov4"/>
      </w:pPr>
      <w:bookmarkStart w:id="40" w:name="_Toc224047552"/>
      <w:r w:rsidRPr="00CD5B87">
        <w:t xml:space="preserve">IZDACI ZA </w:t>
      </w:r>
      <w:r w:rsidRPr="00D6386A">
        <w:t>FINANCIJSKU</w:t>
      </w:r>
      <w:r w:rsidRPr="00CD5B87">
        <w:t xml:space="preserve"> IMOVINU I OTPLATE ZAJMOVA</w:t>
      </w:r>
      <w:bookmarkEnd w:id="40"/>
    </w:p>
    <w:p w14:paraId="017AA996" w14:textId="3F65702A" w:rsidR="006A705F" w:rsidRDefault="00C1393A" w:rsidP="00D0259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>
        <w:rPr>
          <w:rFonts w:cstheme="minorHAnsi"/>
        </w:rPr>
        <w:t>Izdaci</w:t>
      </w:r>
      <w:r w:rsidRPr="00CD5B87">
        <w:rPr>
          <w:rFonts w:cstheme="minorHAnsi"/>
        </w:rPr>
        <w:t xml:space="preserve"> za financijsku imovinu i otplate zajmova izvršeni su </w:t>
      </w:r>
      <w:r>
        <w:rPr>
          <w:rFonts w:cstheme="minorHAnsi"/>
        </w:rPr>
        <w:t xml:space="preserve">u iznosu od </w:t>
      </w:r>
      <w:r w:rsidR="00D02591">
        <w:rPr>
          <w:rFonts w:cstheme="minorHAnsi"/>
        </w:rPr>
        <w:t>400.000,00</w:t>
      </w:r>
      <w:r>
        <w:rPr>
          <w:rFonts w:cstheme="minorHAnsi"/>
        </w:rPr>
        <w:t xml:space="preserve"> eur</w:t>
      </w:r>
      <w:r w:rsidR="00D02591">
        <w:rPr>
          <w:rFonts w:cstheme="minorHAnsi"/>
        </w:rPr>
        <w:t>a</w:t>
      </w:r>
      <w:r>
        <w:rPr>
          <w:rFonts w:cstheme="minorHAnsi"/>
        </w:rPr>
        <w:t xml:space="preserve"> ili 100% godišnjeg plana</w:t>
      </w:r>
      <w:r w:rsidRPr="00CD5B87">
        <w:rPr>
          <w:rFonts w:cstheme="minorHAnsi"/>
        </w:rPr>
        <w:t xml:space="preserve">, </w:t>
      </w:r>
      <w:r w:rsidR="00D02591">
        <w:rPr>
          <w:rFonts w:cstheme="minorHAnsi"/>
        </w:rPr>
        <w:t xml:space="preserve">a </w:t>
      </w:r>
      <w:r w:rsidR="00D02591" w:rsidRPr="00563B26">
        <w:rPr>
          <w:rFonts w:eastAsiaTheme="minorEastAsia" w:cstheme="minorHAnsi"/>
          <w:lang w:eastAsia="hr-HR"/>
        </w:rPr>
        <w:t>odnose se na izdatke za otplatu glavnice primljenog dugoročnog kredita od Privredne banke Zagreb</w:t>
      </w:r>
      <w:r w:rsidR="00D02591">
        <w:rPr>
          <w:rFonts w:eastAsiaTheme="minorEastAsia" w:cstheme="minorHAnsi"/>
          <w:lang w:eastAsia="hr-HR"/>
        </w:rPr>
        <w:t xml:space="preserve"> </w:t>
      </w:r>
      <w:r w:rsidR="00D02591" w:rsidRPr="00563B26">
        <w:rPr>
          <w:rFonts w:eastAsiaTheme="minorEastAsia" w:cstheme="minorHAnsi"/>
          <w:lang w:eastAsia="hr-HR"/>
        </w:rPr>
        <w:t xml:space="preserve">d.d. </w:t>
      </w:r>
      <w:r w:rsidR="00D02591">
        <w:rPr>
          <w:rFonts w:eastAsiaTheme="minorEastAsia" w:cstheme="minorHAnsi"/>
          <w:lang w:eastAsia="hr-HR"/>
        </w:rPr>
        <w:t>koji je od 01.01.2024. godine krenuo u otplatu i otplaćuje se u</w:t>
      </w:r>
      <w:r w:rsidR="00E945F7">
        <w:rPr>
          <w:rFonts w:eastAsiaTheme="minorEastAsia" w:cstheme="minorHAnsi"/>
          <w:lang w:eastAsia="hr-HR"/>
        </w:rPr>
        <w:t xml:space="preserve"> </w:t>
      </w:r>
      <w:r w:rsidR="00D02591">
        <w:rPr>
          <w:rFonts w:eastAsiaTheme="minorEastAsia" w:cstheme="minorHAnsi"/>
          <w:lang w:eastAsia="hr-HR"/>
        </w:rPr>
        <w:t>tromjesečnim ratama svaka po 100.000,00 eura od kojih je prva dospjela 31.03.2024. godine, a posljednja dospijeva 31.12.2028. godine.</w:t>
      </w:r>
    </w:p>
    <w:p w14:paraId="5B7971F8" w14:textId="098EDA9D" w:rsidR="00C1393A" w:rsidRPr="00D02591" w:rsidRDefault="006A705F" w:rsidP="006A705F">
      <w:pPr>
        <w:spacing w:line="259" w:lineRule="auto"/>
        <w:rPr>
          <w:rFonts w:eastAsiaTheme="minorEastAsia" w:cstheme="minorHAnsi"/>
          <w:lang w:eastAsia="hr-HR"/>
        </w:rPr>
      </w:pPr>
      <w:r>
        <w:rPr>
          <w:rFonts w:eastAsiaTheme="minorEastAsia" w:cstheme="minorHAnsi"/>
          <w:lang w:eastAsia="hr-HR"/>
        </w:rPr>
        <w:br w:type="page"/>
      </w:r>
    </w:p>
    <w:p w14:paraId="3052A4CF" w14:textId="30082290" w:rsidR="000B3A72" w:rsidRPr="00B94FD7" w:rsidRDefault="000B3A72" w:rsidP="00EC6EAF">
      <w:pPr>
        <w:pStyle w:val="Naslov2"/>
      </w:pPr>
      <w:bookmarkStart w:id="41" w:name="_Toc14862493"/>
      <w:bookmarkStart w:id="42" w:name="_Toc224047553"/>
      <w:r w:rsidRPr="008A44DE">
        <w:lastRenderedPageBreak/>
        <w:t>OBRAZLOŽENJE</w:t>
      </w:r>
      <w:r w:rsidRPr="00B94FD7">
        <w:t xml:space="preserve"> </w:t>
      </w:r>
      <w:bookmarkEnd w:id="41"/>
      <w:r w:rsidR="008A44DE">
        <w:t>POSEBNOG DIJELA IZVJEŠTAJA O IZVRŠENJU FINANCIJSKOG PLANA</w:t>
      </w:r>
      <w:bookmarkEnd w:id="42"/>
    </w:p>
    <w:p w14:paraId="75113E74" w14:textId="51B3344E" w:rsidR="001B0CB0" w:rsidRDefault="00B77F90" w:rsidP="007806EF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>Obrazloženje posebnog dijela</w:t>
      </w:r>
      <w:r w:rsidR="008B6BC1">
        <w:rPr>
          <w:rFonts w:cstheme="minorHAnsi"/>
        </w:rPr>
        <w:t xml:space="preserve"> g</w:t>
      </w:r>
      <w:r w:rsidR="001B0CB0">
        <w:rPr>
          <w:rFonts w:cstheme="minorHAnsi"/>
        </w:rPr>
        <w:t>odišnjeg izvještaja o izvršenju financijskog plana za 202</w:t>
      </w:r>
      <w:r w:rsidR="00216E3B">
        <w:rPr>
          <w:rFonts w:cstheme="minorHAnsi"/>
        </w:rPr>
        <w:t>5</w:t>
      </w:r>
      <w:r>
        <w:rPr>
          <w:rFonts w:cstheme="minorHAnsi"/>
        </w:rPr>
        <w:t>. godinu sadrži obrazloženje izvršenja programa koje se daje kroz obrazloženja izvršenja aktivnosti.</w:t>
      </w:r>
    </w:p>
    <w:p w14:paraId="3195D05E" w14:textId="77777777" w:rsidR="001B0CB0" w:rsidRDefault="001B0CB0" w:rsidP="001B0CB0">
      <w:pPr>
        <w:spacing w:before="120" w:after="120"/>
        <w:rPr>
          <w:rFonts w:cstheme="minorHAnsi"/>
        </w:rPr>
      </w:pPr>
      <w:r>
        <w:rPr>
          <w:rFonts w:cstheme="minorHAnsi"/>
        </w:rPr>
        <w:t>Izvršeni rashodi i izdaci razvrstani su po sljedećim programima:</w:t>
      </w:r>
    </w:p>
    <w:p w14:paraId="5B677319" w14:textId="77777777" w:rsidR="001B0CB0" w:rsidRDefault="001B0CB0" w:rsidP="00944B9D">
      <w:pPr>
        <w:pStyle w:val="Odlomakpopisa"/>
        <w:numPr>
          <w:ilvl w:val="0"/>
          <w:numId w:val="6"/>
        </w:num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Rashodi uprave i poslovanja,</w:t>
      </w:r>
    </w:p>
    <w:p w14:paraId="2AB774D4" w14:textId="77777777" w:rsidR="001B0CB0" w:rsidRDefault="001B0CB0" w:rsidP="00944B9D">
      <w:pPr>
        <w:pStyle w:val="Odlomakpopisa"/>
        <w:numPr>
          <w:ilvl w:val="0"/>
          <w:numId w:val="6"/>
        </w:num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Izdaci i rashodi po osnovi zaduženja,</w:t>
      </w:r>
    </w:p>
    <w:p w14:paraId="5B09AE53" w14:textId="77777777" w:rsidR="001B0CB0" w:rsidRDefault="001B0CB0" w:rsidP="00944B9D">
      <w:pPr>
        <w:pStyle w:val="Odlomakpopisa"/>
        <w:numPr>
          <w:ilvl w:val="0"/>
          <w:numId w:val="6"/>
        </w:num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Redovito održavanje cesta,</w:t>
      </w:r>
    </w:p>
    <w:p w14:paraId="1D7180AB" w14:textId="0F172F5E" w:rsidR="001B0CB0" w:rsidRDefault="007666C2" w:rsidP="00944B9D">
      <w:pPr>
        <w:pStyle w:val="Odlomakpopisa"/>
        <w:numPr>
          <w:ilvl w:val="0"/>
          <w:numId w:val="6"/>
        </w:numPr>
        <w:spacing w:before="120" w:after="120" w:line="240" w:lineRule="auto"/>
        <w:rPr>
          <w:rFonts w:cstheme="minorHAnsi"/>
        </w:rPr>
      </w:pPr>
      <w:r>
        <w:rPr>
          <w:rFonts w:cstheme="minorHAnsi"/>
        </w:rPr>
        <w:t>Izvanredno održavanje cesta,</w:t>
      </w:r>
    </w:p>
    <w:p w14:paraId="51438634" w14:textId="77777777" w:rsidR="00D06D54" w:rsidRDefault="007666C2" w:rsidP="00944B9D">
      <w:pPr>
        <w:pStyle w:val="Odlomakpopisa"/>
        <w:numPr>
          <w:ilvl w:val="0"/>
          <w:numId w:val="6"/>
        </w:numPr>
        <w:spacing w:before="120" w:after="120" w:line="240" w:lineRule="auto"/>
        <w:contextualSpacing w:val="0"/>
        <w:rPr>
          <w:rFonts w:cstheme="minorHAnsi"/>
        </w:rPr>
      </w:pPr>
      <w:r>
        <w:rPr>
          <w:rFonts w:cstheme="minorHAnsi"/>
        </w:rPr>
        <w:t>Gradnja cesta.</w:t>
      </w:r>
    </w:p>
    <w:p w14:paraId="4CB6776D" w14:textId="268047CB" w:rsidR="007666C2" w:rsidRPr="00D06D54" w:rsidRDefault="001B0CB0" w:rsidP="00B77F90">
      <w:pPr>
        <w:pStyle w:val="Odlomakpopisa"/>
        <w:spacing w:before="120" w:after="120" w:line="240" w:lineRule="auto"/>
        <w:ind w:left="0"/>
        <w:contextualSpacing w:val="0"/>
        <w:rPr>
          <w:rFonts w:cstheme="minorHAnsi"/>
        </w:rPr>
      </w:pPr>
      <w:r w:rsidRPr="00D06D54">
        <w:rPr>
          <w:rFonts w:cstheme="minorHAnsi"/>
        </w:rPr>
        <w:t>Unutar programa rashodi i izdaci razvrstani su po aktivnostima.</w:t>
      </w:r>
    </w:p>
    <w:p w14:paraId="25EB5702" w14:textId="702E0B36" w:rsidR="000B3A72" w:rsidRPr="00CD5B87" w:rsidRDefault="000B3A72" w:rsidP="00EC6EAF">
      <w:pPr>
        <w:pStyle w:val="Naslov3"/>
      </w:pPr>
      <w:bookmarkStart w:id="43" w:name="_Toc224047554"/>
      <w:r w:rsidRPr="00CD5B87">
        <w:t>PROGRAM 1000: RASHODI UPRAVE I POSLOVANJA</w:t>
      </w:r>
      <w:bookmarkEnd w:id="43"/>
    </w:p>
    <w:p w14:paraId="13A64F8B" w14:textId="77777777" w:rsidR="00417332" w:rsidRDefault="00417332" w:rsidP="00417332">
      <w:pPr>
        <w:spacing w:before="120" w:after="120"/>
        <w:jc w:val="both"/>
      </w:pPr>
      <w:r>
        <w:t>Program obuhvaća zajedničke stručne i administrativne poslove u okviru kojeg se provode aktivnosti sa ciljem učinkovitog upravljanja sredstvima Županijske uprave za ceste Primorsko-goranske županije, a cilj im je pratiti naplatu naknade za ceste i ostalih prihoda, osigurati redovito ispunjavanje obveza za zaposlene, materijalnih rashoda koji su potrebni za izvršenje zadaća Županijske uprave za ceste Primorsko-goranske županije te rashoda za nabavu nefinancijske imovine, kao i osiguranja poslovanja sukladno zakonskim propisima.</w:t>
      </w:r>
    </w:p>
    <w:p w14:paraId="6E4630DB" w14:textId="77777777" w:rsidR="00417332" w:rsidRDefault="00417332" w:rsidP="00417332">
      <w:pPr>
        <w:spacing w:before="120" w:after="120"/>
        <w:jc w:val="both"/>
      </w:pPr>
      <w:r>
        <w:t>Zakonske osnove na kojima se program zasniva su:</w:t>
      </w:r>
    </w:p>
    <w:p w14:paraId="15CD2597" w14:textId="378311F9" w:rsidR="00417332" w:rsidRDefault="00417332" w:rsidP="00944B9D">
      <w:pPr>
        <w:pStyle w:val="Odlomakpopisa"/>
        <w:numPr>
          <w:ilvl w:val="0"/>
          <w:numId w:val="7"/>
        </w:numPr>
        <w:spacing w:before="120" w:after="120" w:line="240" w:lineRule="auto"/>
        <w:ind w:left="170" w:hanging="170"/>
        <w:jc w:val="both"/>
        <w:rPr>
          <w:rFonts w:cstheme="minorHAnsi"/>
        </w:rPr>
      </w:pPr>
      <w:r>
        <w:rPr>
          <w:rFonts w:cstheme="minorHAnsi"/>
        </w:rPr>
        <w:t xml:space="preserve">Zakon o cestama </w:t>
      </w:r>
      <w:r>
        <w:rPr>
          <w:rStyle w:val="xrtl"/>
          <w:rFonts w:cstheme="minorHAnsi"/>
          <w:bCs/>
          <w:shd w:val="clear" w:color="auto" w:fill="FFFFFF"/>
        </w:rPr>
        <w:t>(„Narodne novine“, broj 84/11, 18/13, 22/13, 54/13, 148/13, 92/14, 110/19,144/21 i 114/22</w:t>
      </w:r>
      <w:r w:rsidR="007806EF">
        <w:rPr>
          <w:rStyle w:val="xrtl"/>
          <w:rFonts w:cstheme="minorHAnsi"/>
          <w:bCs/>
          <w:shd w:val="clear" w:color="auto" w:fill="FFFFFF"/>
        </w:rPr>
        <w:t>, 04/23, 133/23</w:t>
      </w:r>
      <w:r w:rsidR="00317A06">
        <w:rPr>
          <w:rStyle w:val="xrtl"/>
          <w:rFonts w:cstheme="minorHAnsi"/>
          <w:bCs/>
          <w:shd w:val="clear" w:color="auto" w:fill="FFFFFF"/>
        </w:rPr>
        <w:t>, 156/25</w:t>
      </w:r>
      <w:r>
        <w:rPr>
          <w:rStyle w:val="xrtl"/>
          <w:rFonts w:cstheme="minorHAnsi"/>
          <w:bCs/>
          <w:shd w:val="clear" w:color="auto" w:fill="FFFFFF"/>
        </w:rPr>
        <w:t>),</w:t>
      </w:r>
    </w:p>
    <w:p w14:paraId="7A27D836" w14:textId="77777777" w:rsidR="00417332" w:rsidRDefault="00417332" w:rsidP="00944B9D">
      <w:pPr>
        <w:pStyle w:val="Odlomakpopisa"/>
        <w:numPr>
          <w:ilvl w:val="0"/>
          <w:numId w:val="7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Zakon o proračunu </w:t>
      </w:r>
      <w:r>
        <w:rPr>
          <w:rFonts w:cstheme="minorHAnsi"/>
          <w:bCs/>
        </w:rPr>
        <w:t>(„Narodne novine“, broj 144/21),</w:t>
      </w:r>
    </w:p>
    <w:p w14:paraId="659E7EF5" w14:textId="77777777" w:rsidR="00417332" w:rsidRDefault="00417332" w:rsidP="00944B9D">
      <w:pPr>
        <w:pStyle w:val="Odlomakpopisa"/>
        <w:numPr>
          <w:ilvl w:val="0"/>
          <w:numId w:val="7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Zakon o javnoj nabavi („</w:t>
      </w:r>
      <w:r>
        <w:rPr>
          <w:rFonts w:cstheme="minorHAnsi"/>
          <w:bCs/>
        </w:rPr>
        <w:t>Narodne novine“, broj 120/16 i 114/22),</w:t>
      </w:r>
    </w:p>
    <w:p w14:paraId="0C797A36" w14:textId="5DFF0EE6" w:rsidR="00417332" w:rsidRDefault="00417332" w:rsidP="00944B9D">
      <w:pPr>
        <w:pStyle w:val="Odlomakpopisa"/>
        <w:numPr>
          <w:ilvl w:val="0"/>
          <w:numId w:val="7"/>
        </w:num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Zakon o ustanovama („</w:t>
      </w:r>
      <w:r>
        <w:rPr>
          <w:rFonts w:cstheme="minorHAnsi"/>
          <w:bCs/>
        </w:rPr>
        <w:t>Narodne novine“, broj 76/93, 29/97, 47/99, 35/08</w:t>
      </w:r>
      <w:r w:rsidR="006A705F">
        <w:rPr>
          <w:rFonts w:cstheme="minorHAnsi"/>
          <w:bCs/>
        </w:rPr>
        <w:t>,</w:t>
      </w:r>
      <w:r>
        <w:rPr>
          <w:rFonts w:cstheme="minorHAnsi"/>
          <w:bCs/>
        </w:rPr>
        <w:t xml:space="preserve"> 127/19</w:t>
      </w:r>
      <w:r w:rsidR="006A705F">
        <w:rPr>
          <w:rFonts w:cstheme="minorHAnsi"/>
          <w:bCs/>
        </w:rPr>
        <w:t xml:space="preserve"> i 151/22</w:t>
      </w:r>
      <w:r>
        <w:rPr>
          <w:rFonts w:cstheme="minorHAnsi"/>
          <w:bCs/>
        </w:rPr>
        <w:t>).</w:t>
      </w:r>
    </w:p>
    <w:p w14:paraId="2B52311A" w14:textId="416A9412" w:rsidR="00417332" w:rsidRDefault="00417332" w:rsidP="00D06D54">
      <w:pPr>
        <w:spacing w:before="120" w:after="120" w:line="240" w:lineRule="auto"/>
        <w:jc w:val="both"/>
        <w:rPr>
          <w:rFonts w:cs="Tahoma"/>
          <w:szCs w:val="18"/>
        </w:rPr>
      </w:pPr>
      <w:r>
        <w:t>Program rashoda uprave i poslovanja odnosi se na rashode za zaposlene</w:t>
      </w:r>
      <w:r w:rsidR="00C732A8">
        <w:t>,</w:t>
      </w:r>
      <w:r>
        <w:t xml:space="preserve"> materijalne rashode, financijske rashode, pomoći </w:t>
      </w:r>
      <w:r w:rsidR="00C9731F">
        <w:t xml:space="preserve">dane </w:t>
      </w:r>
      <w:r>
        <w:t>unutar općeg proračuna i ostale rashode te rashode za nabavu nefinancijske imovine.</w:t>
      </w:r>
    </w:p>
    <w:p w14:paraId="0B3270DD" w14:textId="43757705" w:rsidR="00417332" w:rsidRPr="00F8051A" w:rsidRDefault="00417332" w:rsidP="00D06D54">
      <w:pPr>
        <w:spacing w:before="120" w:after="120" w:line="240" w:lineRule="auto"/>
        <w:jc w:val="both"/>
        <w:rPr>
          <w:color w:val="222A35" w:themeColor="text2" w:themeShade="80"/>
        </w:rPr>
      </w:pPr>
      <w:r>
        <w:t xml:space="preserve">Za potrebe izvršenja aktivnosti sadržanih u programu </w:t>
      </w:r>
      <w:r w:rsidR="00C9731F">
        <w:t xml:space="preserve">Rashodi uprave i poslovanja </w:t>
      </w:r>
      <w:r w:rsidR="008B6BC1">
        <w:t xml:space="preserve">u </w:t>
      </w:r>
      <w:r>
        <w:t>202</w:t>
      </w:r>
      <w:r w:rsidR="00317A06">
        <w:t>5</w:t>
      </w:r>
      <w:r w:rsidR="008B6BC1">
        <w:t>. godini</w:t>
      </w:r>
      <w:r>
        <w:t xml:space="preserve"> planirana su sredstva u iznosu od </w:t>
      </w:r>
      <w:r w:rsidR="00317A06">
        <w:t>2.771.562,40</w:t>
      </w:r>
      <w:r w:rsidR="00C9731F">
        <w:t xml:space="preserve"> eur</w:t>
      </w:r>
      <w:r w:rsidR="00BB0DCC">
        <w:t>a</w:t>
      </w:r>
      <w:r>
        <w:t xml:space="preserve">, a izvršena u iznosu od </w:t>
      </w:r>
      <w:r w:rsidR="00317A06">
        <w:t>2.483.170,47</w:t>
      </w:r>
      <w:r w:rsidR="00AA0819">
        <w:t xml:space="preserve"> eur</w:t>
      </w:r>
      <w:r w:rsidR="00BB0DCC">
        <w:t>a</w:t>
      </w:r>
      <w:r>
        <w:t xml:space="preserve"> kako je prikazano u tablici </w:t>
      </w:r>
      <w:r w:rsidRPr="00F8051A">
        <w:rPr>
          <w:color w:val="222A35" w:themeColor="text2" w:themeShade="80"/>
        </w:rPr>
        <w:t>koja slijedi:</w:t>
      </w:r>
    </w:p>
    <w:p w14:paraId="02D6742F" w14:textId="1CBEB478" w:rsidR="00F8051A" w:rsidRDefault="00F8051A" w:rsidP="00F8051A">
      <w:pPr>
        <w:pStyle w:val="Opisslike"/>
        <w:keepNext/>
        <w:spacing w:after="120"/>
        <w:rPr>
          <w:i w:val="0"/>
          <w:color w:val="222A35" w:themeColor="text2" w:themeShade="80"/>
          <w:sz w:val="22"/>
          <w:szCs w:val="22"/>
        </w:rPr>
      </w:pPr>
      <w:bookmarkStart w:id="44" w:name="_Toc224047008"/>
      <w:r w:rsidRPr="00F8051A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begin"/>
      </w:r>
      <w:r w:rsidRPr="00F8051A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F8051A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8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end"/>
      </w:r>
      <w:r w:rsidRPr="00F8051A">
        <w:rPr>
          <w:i w:val="0"/>
          <w:color w:val="222A35" w:themeColor="text2" w:themeShade="80"/>
          <w:sz w:val="22"/>
          <w:szCs w:val="22"/>
        </w:rPr>
        <w:t xml:space="preserve">. Izvršenje </w:t>
      </w:r>
      <w:r w:rsidR="00C80F19">
        <w:rPr>
          <w:i w:val="0"/>
          <w:color w:val="222A35" w:themeColor="text2" w:themeShade="80"/>
          <w:sz w:val="22"/>
          <w:szCs w:val="22"/>
        </w:rPr>
        <w:t>P</w:t>
      </w:r>
      <w:r w:rsidRPr="00F8051A">
        <w:rPr>
          <w:i w:val="0"/>
          <w:color w:val="222A35" w:themeColor="text2" w:themeShade="80"/>
          <w:sz w:val="22"/>
          <w:szCs w:val="22"/>
        </w:rPr>
        <w:t>rogram</w:t>
      </w:r>
      <w:r w:rsidR="00C80F19">
        <w:rPr>
          <w:i w:val="0"/>
          <w:color w:val="222A35" w:themeColor="text2" w:themeShade="80"/>
          <w:sz w:val="22"/>
          <w:szCs w:val="22"/>
        </w:rPr>
        <w:t>a</w:t>
      </w:r>
      <w:r w:rsidRPr="00F8051A">
        <w:rPr>
          <w:i w:val="0"/>
          <w:color w:val="222A35" w:themeColor="text2" w:themeShade="80"/>
          <w:sz w:val="22"/>
          <w:szCs w:val="22"/>
        </w:rPr>
        <w:t xml:space="preserve"> 1000</w:t>
      </w:r>
      <w:r w:rsidR="00C80F19">
        <w:rPr>
          <w:i w:val="0"/>
          <w:color w:val="222A35" w:themeColor="text2" w:themeShade="80"/>
          <w:sz w:val="22"/>
          <w:szCs w:val="22"/>
        </w:rPr>
        <w:t>:</w:t>
      </w:r>
      <w:r w:rsidR="00D10C51">
        <w:rPr>
          <w:i w:val="0"/>
          <w:color w:val="222A35" w:themeColor="text2" w:themeShade="80"/>
          <w:sz w:val="22"/>
          <w:szCs w:val="22"/>
        </w:rPr>
        <w:t xml:space="preserve"> Rashodi uprave i poslovanja u</w:t>
      </w:r>
      <w:r w:rsidRPr="00F8051A">
        <w:rPr>
          <w:i w:val="0"/>
          <w:color w:val="222A35" w:themeColor="text2" w:themeShade="80"/>
          <w:sz w:val="22"/>
          <w:szCs w:val="22"/>
        </w:rPr>
        <w:t xml:space="preserve"> 202</w:t>
      </w:r>
      <w:r w:rsidR="008C5525">
        <w:rPr>
          <w:i w:val="0"/>
          <w:color w:val="222A35" w:themeColor="text2" w:themeShade="80"/>
          <w:sz w:val="22"/>
          <w:szCs w:val="22"/>
        </w:rPr>
        <w:t>5</w:t>
      </w:r>
      <w:r w:rsidRPr="00F8051A">
        <w:rPr>
          <w:i w:val="0"/>
          <w:color w:val="222A35" w:themeColor="text2" w:themeShade="80"/>
          <w:sz w:val="22"/>
          <w:szCs w:val="22"/>
        </w:rPr>
        <w:t>. godin</w:t>
      </w:r>
      <w:r w:rsidR="00D10C51">
        <w:rPr>
          <w:i w:val="0"/>
          <w:color w:val="222A35" w:themeColor="text2" w:themeShade="80"/>
          <w:sz w:val="22"/>
          <w:szCs w:val="22"/>
        </w:rPr>
        <w:t>i</w:t>
      </w:r>
      <w:bookmarkEnd w:id="44"/>
    </w:p>
    <w:tbl>
      <w:tblPr>
        <w:tblW w:w="9698" w:type="dxa"/>
        <w:jc w:val="center"/>
        <w:tblLook w:val="04A0" w:firstRow="1" w:lastRow="0" w:firstColumn="1" w:lastColumn="0" w:noHBand="0" w:noVBand="1"/>
      </w:tblPr>
      <w:tblGrid>
        <w:gridCol w:w="4531"/>
        <w:gridCol w:w="1234"/>
        <w:gridCol w:w="1180"/>
        <w:gridCol w:w="1180"/>
        <w:gridCol w:w="854"/>
        <w:gridCol w:w="719"/>
      </w:tblGrid>
      <w:tr w:rsidR="008C5525" w:rsidRPr="008C5525" w14:paraId="13F0C976" w14:textId="77777777" w:rsidTr="008C5525">
        <w:trPr>
          <w:trHeight w:val="480"/>
          <w:tblHeader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894B678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Brojčana oznaka i naziv računa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28D072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D15764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</w:t>
            </w: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127716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6F6614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4./2.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ABD400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4./3. </w:t>
            </w:r>
          </w:p>
        </w:tc>
      </w:tr>
      <w:tr w:rsidR="008C5525" w:rsidRPr="008C5525" w14:paraId="6AFFFDF5" w14:textId="77777777" w:rsidTr="008C5525">
        <w:trPr>
          <w:trHeight w:val="88"/>
          <w:tblHeader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76D75F5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52F36C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25151A5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4B617DC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BE227F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3E383B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8C5525" w:rsidRPr="008C5525" w14:paraId="622278D0" w14:textId="77777777" w:rsidTr="008C5525">
        <w:trPr>
          <w:trHeight w:val="28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BE87A0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Program: 1000 RASHODI UPRAVE I POSLOVANJA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660D6C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2.031.184,32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1DAB4B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2.771.562,40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414BE3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2.483.170,47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09362E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122,25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706013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89,59</w:t>
            </w:r>
          </w:p>
        </w:tc>
      </w:tr>
      <w:tr w:rsidR="008C5525" w:rsidRPr="008C5525" w14:paraId="6BDF2198" w14:textId="77777777" w:rsidTr="008C5525">
        <w:trPr>
          <w:trHeight w:val="28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81C171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100002 MATERIJALNI RASHODI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E6EBE3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1.999.455,05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F42328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2.703.235,62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F57825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2.435.076,34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0EE946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121,79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18075C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90,08</w:t>
            </w:r>
          </w:p>
        </w:tc>
      </w:tr>
      <w:tr w:rsidR="008C5525" w:rsidRPr="008C5525" w14:paraId="2A12C0CE" w14:textId="77777777" w:rsidTr="008C5525">
        <w:trPr>
          <w:trHeight w:val="28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C7DE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86F08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1.999.455,05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6883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2.702.875,62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44EE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2.434.716,34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220C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121,77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1FA0E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90,08</w:t>
            </w:r>
          </w:p>
        </w:tc>
      </w:tr>
      <w:tr w:rsidR="008C5525" w:rsidRPr="008C5525" w14:paraId="63615113" w14:textId="77777777" w:rsidTr="008C5525">
        <w:trPr>
          <w:trHeight w:val="28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B70E2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63F9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570.642,56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0115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932.991,67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429E4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901.371,48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7F090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157,96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8AE5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96,61</w:t>
            </w:r>
          </w:p>
        </w:tc>
      </w:tr>
      <w:tr w:rsidR="008C5525" w:rsidRPr="008C5525" w14:paraId="28FF70FC" w14:textId="77777777" w:rsidTr="008C5525">
        <w:trPr>
          <w:trHeight w:val="28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03699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B4641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602.474,24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E7B4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738.897,13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FD828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653.239,43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425B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108,43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965E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88,41</w:t>
            </w:r>
          </w:p>
        </w:tc>
      </w:tr>
      <w:tr w:rsidR="008C5525" w:rsidRPr="008C5525" w14:paraId="47C84B15" w14:textId="77777777" w:rsidTr="008C5525">
        <w:trPr>
          <w:trHeight w:val="28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4F68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3D25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1.803,75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91A7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51.586,82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8C02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51.133,31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087C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2.834,83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5C22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99,12</w:t>
            </w:r>
          </w:p>
        </w:tc>
      </w:tr>
      <w:tr w:rsidR="008C5525" w:rsidRPr="008C5525" w14:paraId="6C0B2D5B" w14:textId="77777777" w:rsidTr="008C5525">
        <w:trPr>
          <w:trHeight w:val="28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5073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 Pomoći dane u inozemstvo i unutar općeg proračuna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C343B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819.758,88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C76D9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870.400,00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649C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803.862,43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8964E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FBCF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92,36</w:t>
            </w:r>
          </w:p>
        </w:tc>
      </w:tr>
      <w:tr w:rsidR="008C5525" w:rsidRPr="008C5525" w14:paraId="52383C61" w14:textId="77777777" w:rsidTr="008C5525">
        <w:trPr>
          <w:trHeight w:val="28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F140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 Rashodi za donacije, kazne, naknade šteta i kapitalne pomoći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DB07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4.775,62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468E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109.000,00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0731A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25.109,69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8B28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525,79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5EC9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23,04</w:t>
            </w:r>
          </w:p>
        </w:tc>
      </w:tr>
      <w:tr w:rsidR="006950E4" w:rsidRPr="008C5525" w14:paraId="15485D42" w14:textId="77777777" w:rsidTr="006950E4">
        <w:trPr>
          <w:trHeight w:val="28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13CB7" w14:textId="77777777" w:rsidR="006950E4" w:rsidRPr="008C5525" w:rsidRDefault="006950E4" w:rsidP="00695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0C66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8FAE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CBE4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5E72E" w14:textId="0BB59DA3" w:rsidR="006950E4" w:rsidRPr="008C5525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4D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2CB91" w14:textId="77777777" w:rsidR="006950E4" w:rsidRPr="008C5525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950E4" w:rsidRPr="008C5525" w14:paraId="5CE0FD20" w14:textId="77777777" w:rsidTr="006950E4">
        <w:trPr>
          <w:trHeight w:val="28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E6FD1" w14:textId="77777777" w:rsidR="006950E4" w:rsidRPr="008C5525" w:rsidRDefault="006950E4" w:rsidP="0069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4594D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B789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7F770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301F" w14:textId="64949515" w:rsidR="006950E4" w:rsidRPr="008C5525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4D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E417" w14:textId="77777777" w:rsidR="006950E4" w:rsidRPr="008C5525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950E4" w:rsidRPr="008C5525" w14:paraId="53AF1F7F" w14:textId="77777777" w:rsidTr="006950E4">
        <w:trPr>
          <w:trHeight w:val="28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5BAC5C" w14:textId="77777777" w:rsidR="006950E4" w:rsidRPr="008C5525" w:rsidRDefault="006950E4" w:rsidP="00695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100003 FINANCIJSKI RASHODI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F0294D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6D4DAE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49FCD4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6.190,65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6752B14" w14:textId="27F3706D" w:rsidR="006950E4" w:rsidRPr="008C5525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4D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0284D8" w14:textId="77777777" w:rsidR="006950E4" w:rsidRPr="008C5525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61,91</w:t>
            </w:r>
          </w:p>
        </w:tc>
      </w:tr>
      <w:tr w:rsidR="006950E4" w:rsidRPr="008C5525" w14:paraId="6A3ED5F7" w14:textId="77777777" w:rsidTr="006950E4">
        <w:trPr>
          <w:trHeight w:val="28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1A7D" w14:textId="77777777" w:rsidR="006950E4" w:rsidRPr="008C5525" w:rsidRDefault="006950E4" w:rsidP="00695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EE99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A3E78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B767C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6.190,65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D344F" w14:textId="71B57B28" w:rsidR="006950E4" w:rsidRPr="008C5525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4D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9C8F" w14:textId="77777777" w:rsidR="006950E4" w:rsidRPr="008C5525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61,91</w:t>
            </w:r>
          </w:p>
        </w:tc>
      </w:tr>
      <w:tr w:rsidR="006950E4" w:rsidRPr="008C5525" w14:paraId="0AF6AB96" w14:textId="77777777" w:rsidTr="006950E4">
        <w:trPr>
          <w:trHeight w:val="28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5188" w14:textId="77777777" w:rsidR="006950E4" w:rsidRPr="008C5525" w:rsidRDefault="006950E4" w:rsidP="0069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77FE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71DD8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C7C1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6.190,65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BFA3F" w14:textId="4BFE6C62" w:rsidR="006950E4" w:rsidRPr="008C5525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54D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397F" w14:textId="77777777" w:rsidR="006950E4" w:rsidRPr="008C5525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61,91</w:t>
            </w:r>
          </w:p>
        </w:tc>
      </w:tr>
      <w:tr w:rsidR="008C5525" w:rsidRPr="008C5525" w14:paraId="7B0E4847" w14:textId="77777777" w:rsidTr="008C5525">
        <w:trPr>
          <w:trHeight w:val="28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214314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100005 RASHODI ZA NABAVU NEFINANCIJSKE IMOVINE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1728D5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31.729,27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867A06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58.326,78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0421C1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41.903,48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8FC055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132,07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D240D6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71,84</w:t>
            </w:r>
          </w:p>
        </w:tc>
      </w:tr>
      <w:tr w:rsidR="008C5525" w:rsidRPr="008C5525" w14:paraId="0E238423" w14:textId="77777777" w:rsidTr="008C5525">
        <w:trPr>
          <w:trHeight w:val="28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7B36B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4 Rashodi za nabavu nefinancijske imovine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F1CD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31.729,27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2EE7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58.326,78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2F6D5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41.903,48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43BF2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132,07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9957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71,84</w:t>
            </w:r>
          </w:p>
        </w:tc>
      </w:tr>
      <w:tr w:rsidR="006950E4" w:rsidRPr="008C5525" w14:paraId="1BDAE69A" w14:textId="77777777" w:rsidTr="006950E4">
        <w:trPr>
          <w:trHeight w:val="28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0EAEA" w14:textId="77777777" w:rsidR="006950E4" w:rsidRPr="008C5525" w:rsidRDefault="006950E4" w:rsidP="0069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41 Rashodi za nabavu </w:t>
            </w:r>
            <w:proofErr w:type="spellStart"/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neproizvedene</w:t>
            </w:r>
            <w:proofErr w:type="spellEnd"/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0CF53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E8575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2BF54" w14:textId="77777777" w:rsidR="006950E4" w:rsidRPr="008C5525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F405" w14:textId="36DCDC40" w:rsidR="006950E4" w:rsidRPr="008C5525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49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8636B" w14:textId="0982132F" w:rsidR="006950E4" w:rsidRPr="008C5525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8497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8C5525" w:rsidRPr="008C5525" w14:paraId="1B9B6D9D" w14:textId="77777777" w:rsidTr="008C5525">
        <w:trPr>
          <w:trHeight w:val="283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D568C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FFF7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29.829,27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18F09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53.326,78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8F9C1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41.903,48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1E68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140,48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54597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78,58</w:t>
            </w:r>
          </w:p>
        </w:tc>
      </w:tr>
    </w:tbl>
    <w:p w14:paraId="488D3FCB" w14:textId="7AB5A981" w:rsidR="000B3A72" w:rsidRPr="00AA0819" w:rsidRDefault="000B3A72" w:rsidP="00EC6EAF">
      <w:pPr>
        <w:pStyle w:val="Naslov3"/>
        <w:rPr>
          <w:rFonts w:cs="Tahoma"/>
          <w:szCs w:val="18"/>
        </w:rPr>
      </w:pPr>
      <w:bookmarkStart w:id="45" w:name="_Toc224047555"/>
      <w:r w:rsidRPr="00CD5B87">
        <w:t>PROGRAM 1001:</w:t>
      </w:r>
      <w:r w:rsidR="009A1AA0">
        <w:t xml:space="preserve"> IZDACI I RASHODI PO OSNOVI ZADUŽENJA</w:t>
      </w:r>
      <w:bookmarkEnd w:id="45"/>
    </w:p>
    <w:p w14:paraId="27CD39C9" w14:textId="4D4D352B" w:rsidR="000B3A72" w:rsidRPr="00CD5B87" w:rsidRDefault="000B3A72" w:rsidP="00080023">
      <w:pPr>
        <w:spacing w:before="120" w:after="120" w:line="240" w:lineRule="auto"/>
        <w:jc w:val="both"/>
        <w:rPr>
          <w:rFonts w:cstheme="minorHAnsi"/>
        </w:rPr>
      </w:pPr>
      <w:r w:rsidRPr="00E94B6E">
        <w:rPr>
          <w:rFonts w:cstheme="minorHAnsi"/>
        </w:rPr>
        <w:t xml:space="preserve">Program </w:t>
      </w:r>
      <w:r w:rsidR="005A5088">
        <w:rPr>
          <w:rFonts w:cstheme="minorHAnsi"/>
        </w:rPr>
        <w:t>i</w:t>
      </w:r>
      <w:r w:rsidRPr="00E94B6E">
        <w:rPr>
          <w:rFonts w:cstheme="minorHAnsi"/>
        </w:rPr>
        <w:t xml:space="preserve">zdaci i rashodi </w:t>
      </w:r>
      <w:r w:rsidR="009A1AA0" w:rsidRPr="00E94B6E">
        <w:rPr>
          <w:rFonts w:cstheme="minorHAnsi"/>
        </w:rPr>
        <w:t>po osnovi zaduženja</w:t>
      </w:r>
      <w:r w:rsidR="00E94B6E" w:rsidRPr="00E94B6E">
        <w:rPr>
          <w:rFonts w:cstheme="minorHAnsi"/>
        </w:rPr>
        <w:t xml:space="preserve"> odnosi se n</w:t>
      </w:r>
      <w:r w:rsidRPr="00E94B6E">
        <w:rPr>
          <w:rFonts w:cstheme="minorHAnsi"/>
        </w:rPr>
        <w:t xml:space="preserve">a </w:t>
      </w:r>
      <w:r w:rsidR="00060840">
        <w:rPr>
          <w:rFonts w:cstheme="minorHAnsi"/>
        </w:rPr>
        <w:t xml:space="preserve">izdatke za otplatu kredita i plaćenu kamatu na dugoročni kredit </w:t>
      </w:r>
      <w:r w:rsidR="007156B6">
        <w:rPr>
          <w:rFonts w:cstheme="minorHAnsi"/>
        </w:rPr>
        <w:t xml:space="preserve">kod Privredne banke Zagreb d.d. </w:t>
      </w:r>
      <w:r w:rsidR="00060840">
        <w:rPr>
          <w:rFonts w:cstheme="minorHAnsi"/>
        </w:rPr>
        <w:t xml:space="preserve">za </w:t>
      </w:r>
      <w:r w:rsidR="005D48D0">
        <w:rPr>
          <w:rFonts w:cstheme="minorHAnsi"/>
        </w:rPr>
        <w:t>sanaciju cesta na području Gorskog kotara</w:t>
      </w:r>
      <w:r w:rsidRPr="00E94B6E">
        <w:rPr>
          <w:rFonts w:cstheme="minorHAnsi"/>
        </w:rPr>
        <w:t>.</w:t>
      </w:r>
      <w:r w:rsidR="005D48D0">
        <w:rPr>
          <w:rFonts w:cstheme="minorHAnsi"/>
        </w:rPr>
        <w:t xml:space="preserve"> Kredit se otplaćuje sukladno otplatnom planu u 20 jednakih tromjesečnih rata svaka po 100.000,00 eura od kojih je prva dospjela 31.03.2024. godine, a posljednja dospijeva 31.12.2028. godine. Obračun kamata vrši se tromjesečno, posljednji dan svakog tromjesečja, odnosno u roku dospijeća glavnice kredita, a rok za naplatu je 10 dana od obračuna.</w:t>
      </w:r>
    </w:p>
    <w:p w14:paraId="1F83DFA3" w14:textId="3472DEE7" w:rsidR="000B3A72" w:rsidRDefault="000B3A72" w:rsidP="00080023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Za potrebe izvr</w:t>
      </w:r>
      <w:r w:rsidR="00060840">
        <w:rPr>
          <w:rFonts w:cstheme="minorHAnsi"/>
        </w:rPr>
        <w:t xml:space="preserve">šenja programa planirano je </w:t>
      </w:r>
      <w:r w:rsidR="00317A06">
        <w:rPr>
          <w:rFonts w:cstheme="minorHAnsi"/>
        </w:rPr>
        <w:t>423.184,47</w:t>
      </w:r>
      <w:r w:rsidR="00C9731F">
        <w:rPr>
          <w:rFonts w:cstheme="minorHAnsi"/>
        </w:rPr>
        <w:t xml:space="preserve"> eur</w:t>
      </w:r>
      <w:r w:rsidR="00374AB6">
        <w:rPr>
          <w:rFonts w:cstheme="minorHAnsi"/>
        </w:rPr>
        <w:t>a</w:t>
      </w:r>
      <w:r w:rsidR="00060840">
        <w:rPr>
          <w:rFonts w:cstheme="minorHAnsi"/>
        </w:rPr>
        <w:t xml:space="preserve">, a utrošeno </w:t>
      </w:r>
      <w:r w:rsidR="007156B6">
        <w:rPr>
          <w:rFonts w:cstheme="minorHAnsi"/>
        </w:rPr>
        <w:t xml:space="preserve">je </w:t>
      </w:r>
      <w:r w:rsidR="00317A06">
        <w:rPr>
          <w:rFonts w:cstheme="minorHAnsi"/>
        </w:rPr>
        <w:t>423.184,47</w:t>
      </w:r>
      <w:r w:rsidR="00060840">
        <w:rPr>
          <w:rFonts w:cstheme="minorHAnsi"/>
        </w:rPr>
        <w:t xml:space="preserve"> eur</w:t>
      </w:r>
      <w:r w:rsidR="00374AB6">
        <w:rPr>
          <w:rFonts w:cstheme="minorHAnsi"/>
        </w:rPr>
        <w:t>a</w:t>
      </w:r>
      <w:r w:rsidR="00060840">
        <w:rPr>
          <w:rFonts w:cstheme="minorHAnsi"/>
        </w:rPr>
        <w:t xml:space="preserve"> ili </w:t>
      </w:r>
      <w:r w:rsidR="00317A06">
        <w:rPr>
          <w:rFonts w:cstheme="minorHAnsi"/>
        </w:rPr>
        <w:t>100,00</w:t>
      </w:r>
      <w:r w:rsidRPr="00CD5B87">
        <w:rPr>
          <w:rFonts w:cstheme="minorHAnsi"/>
        </w:rPr>
        <w:t>% godišnjeg plana.</w:t>
      </w:r>
    </w:p>
    <w:p w14:paraId="07E292CF" w14:textId="5EFC37CA" w:rsidR="00615098" w:rsidRDefault="00615098" w:rsidP="00615098">
      <w:pPr>
        <w:spacing w:before="120" w:after="120" w:line="240" w:lineRule="auto"/>
        <w:jc w:val="both"/>
        <w:rPr>
          <w:rFonts w:cstheme="minorHAnsi"/>
          <w:color w:val="222A35"/>
        </w:rPr>
      </w:pPr>
      <w:bookmarkStart w:id="46" w:name="_Toc224047009"/>
      <w:r w:rsidRPr="00615098">
        <w:rPr>
          <w:rFonts w:cstheme="minorHAnsi"/>
          <w:color w:val="222A35"/>
        </w:rPr>
        <w:t xml:space="preserve">Tablica </w:t>
      </w:r>
      <w:r w:rsidRPr="00615098">
        <w:rPr>
          <w:rFonts w:cstheme="minorHAnsi"/>
          <w:color w:val="222A35"/>
        </w:rPr>
        <w:fldChar w:fldCharType="begin"/>
      </w:r>
      <w:r w:rsidRPr="00615098">
        <w:rPr>
          <w:rFonts w:cstheme="minorHAnsi"/>
          <w:color w:val="222A35"/>
        </w:rPr>
        <w:instrText xml:space="preserve"> SEQ Tablica \* ARABIC </w:instrText>
      </w:r>
      <w:r w:rsidRPr="00615098">
        <w:rPr>
          <w:rFonts w:cstheme="minorHAnsi"/>
          <w:color w:val="222A35"/>
        </w:rPr>
        <w:fldChar w:fldCharType="separate"/>
      </w:r>
      <w:r w:rsidR="00EC1B3D">
        <w:rPr>
          <w:rFonts w:cstheme="minorHAnsi"/>
          <w:noProof/>
          <w:color w:val="222A35"/>
        </w:rPr>
        <w:t>9</w:t>
      </w:r>
      <w:r w:rsidRPr="00615098">
        <w:rPr>
          <w:rFonts w:cstheme="minorHAnsi"/>
          <w:color w:val="222A35"/>
        </w:rPr>
        <w:fldChar w:fldCharType="end"/>
      </w:r>
      <w:r w:rsidRPr="00615098">
        <w:rPr>
          <w:rFonts w:cstheme="minorHAnsi"/>
          <w:color w:val="222A35"/>
        </w:rPr>
        <w:t>. Izvršenje Programa 1001: Izdaci i ra</w:t>
      </w:r>
      <w:r w:rsidR="008C5525">
        <w:rPr>
          <w:rFonts w:cstheme="minorHAnsi"/>
          <w:color w:val="222A35"/>
        </w:rPr>
        <w:t>shodi po osnovi zaduženja u 2025</w:t>
      </w:r>
      <w:r w:rsidRPr="00615098">
        <w:rPr>
          <w:rFonts w:cstheme="minorHAnsi"/>
          <w:color w:val="222A35"/>
        </w:rPr>
        <w:t>. godini</w:t>
      </w:r>
      <w:bookmarkEnd w:id="46"/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276"/>
        <w:gridCol w:w="1165"/>
        <w:gridCol w:w="1041"/>
        <w:gridCol w:w="719"/>
        <w:gridCol w:w="719"/>
      </w:tblGrid>
      <w:tr w:rsidR="008C5525" w:rsidRPr="008C5525" w14:paraId="51488A6F" w14:textId="77777777" w:rsidTr="008C5525">
        <w:trPr>
          <w:trHeight w:val="480"/>
          <w:jc w:val="center"/>
        </w:trPr>
        <w:tc>
          <w:tcPr>
            <w:tcW w:w="4815" w:type="dxa"/>
            <w:shd w:val="clear" w:color="000000" w:fill="DDEBF7"/>
            <w:noWrap/>
            <w:vAlign w:val="center"/>
            <w:hideMark/>
          </w:tcPr>
          <w:p w14:paraId="0D900FC2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Brojčana oznaka i naziv računa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6AB93BB9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1165" w:type="dxa"/>
            <w:shd w:val="clear" w:color="000000" w:fill="DDEBF7"/>
            <w:vAlign w:val="center"/>
            <w:hideMark/>
          </w:tcPr>
          <w:p w14:paraId="5F351587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</w:t>
            </w: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041" w:type="dxa"/>
            <w:shd w:val="clear" w:color="000000" w:fill="DDEBF7"/>
            <w:vAlign w:val="center"/>
            <w:hideMark/>
          </w:tcPr>
          <w:p w14:paraId="1287B669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7B6D8FDD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4./2. 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35351A8E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4./3. </w:t>
            </w:r>
          </w:p>
        </w:tc>
      </w:tr>
      <w:tr w:rsidR="008C5525" w:rsidRPr="008C5525" w14:paraId="668F9950" w14:textId="77777777" w:rsidTr="008C5525">
        <w:trPr>
          <w:trHeight w:val="128"/>
          <w:jc w:val="center"/>
        </w:trPr>
        <w:tc>
          <w:tcPr>
            <w:tcW w:w="4815" w:type="dxa"/>
            <w:shd w:val="clear" w:color="000000" w:fill="DDEBF7"/>
            <w:noWrap/>
            <w:vAlign w:val="center"/>
            <w:hideMark/>
          </w:tcPr>
          <w:p w14:paraId="66F39DC9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276" w:type="dxa"/>
            <w:shd w:val="clear" w:color="000000" w:fill="DDEBF7"/>
            <w:noWrap/>
            <w:vAlign w:val="center"/>
            <w:hideMark/>
          </w:tcPr>
          <w:p w14:paraId="2AF92394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165" w:type="dxa"/>
            <w:shd w:val="clear" w:color="000000" w:fill="DDEBF7"/>
            <w:noWrap/>
            <w:vAlign w:val="center"/>
            <w:hideMark/>
          </w:tcPr>
          <w:p w14:paraId="32D6AC66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041" w:type="dxa"/>
            <w:shd w:val="clear" w:color="000000" w:fill="DDEBF7"/>
            <w:noWrap/>
            <w:vAlign w:val="center"/>
            <w:hideMark/>
          </w:tcPr>
          <w:p w14:paraId="70A09167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719" w:type="dxa"/>
            <w:shd w:val="clear" w:color="000000" w:fill="DDEBF7"/>
            <w:noWrap/>
            <w:vAlign w:val="center"/>
            <w:hideMark/>
          </w:tcPr>
          <w:p w14:paraId="5AF72024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9" w:type="dxa"/>
            <w:shd w:val="clear" w:color="000000" w:fill="DDEBF7"/>
            <w:noWrap/>
            <w:vAlign w:val="center"/>
            <w:hideMark/>
          </w:tcPr>
          <w:p w14:paraId="5598EB81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8C5525" w:rsidRPr="008C5525" w14:paraId="30EF0C41" w14:textId="77777777" w:rsidTr="008C5525">
        <w:trPr>
          <w:trHeight w:val="283"/>
          <w:jc w:val="center"/>
        </w:trPr>
        <w:tc>
          <w:tcPr>
            <w:tcW w:w="4815" w:type="dxa"/>
            <w:shd w:val="clear" w:color="000000" w:fill="BDD7EE"/>
            <w:vAlign w:val="center"/>
            <w:hideMark/>
          </w:tcPr>
          <w:p w14:paraId="2DF99005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Program: 1001 IZDACI RASHODI PO OSNOVI ZADUŽENJA</w:t>
            </w:r>
          </w:p>
        </w:tc>
        <w:tc>
          <w:tcPr>
            <w:tcW w:w="1276" w:type="dxa"/>
            <w:shd w:val="clear" w:color="000000" w:fill="BDD7EE"/>
            <w:vAlign w:val="center"/>
            <w:hideMark/>
          </w:tcPr>
          <w:p w14:paraId="5A16D041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429.591,49</w:t>
            </w:r>
          </w:p>
        </w:tc>
        <w:tc>
          <w:tcPr>
            <w:tcW w:w="1165" w:type="dxa"/>
            <w:shd w:val="clear" w:color="000000" w:fill="BDD7EE"/>
            <w:vAlign w:val="center"/>
            <w:hideMark/>
          </w:tcPr>
          <w:p w14:paraId="38402F8C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423.184,47</w:t>
            </w:r>
          </w:p>
        </w:tc>
        <w:tc>
          <w:tcPr>
            <w:tcW w:w="1041" w:type="dxa"/>
            <w:shd w:val="clear" w:color="000000" w:fill="BDD7EE"/>
            <w:vAlign w:val="center"/>
            <w:hideMark/>
          </w:tcPr>
          <w:p w14:paraId="116CD0D9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423.184,47</w:t>
            </w:r>
          </w:p>
        </w:tc>
        <w:tc>
          <w:tcPr>
            <w:tcW w:w="719" w:type="dxa"/>
            <w:shd w:val="clear" w:color="000000" w:fill="BDD7EE"/>
            <w:vAlign w:val="center"/>
            <w:hideMark/>
          </w:tcPr>
          <w:p w14:paraId="1694D725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98,51</w:t>
            </w:r>
          </w:p>
        </w:tc>
        <w:tc>
          <w:tcPr>
            <w:tcW w:w="719" w:type="dxa"/>
            <w:shd w:val="clear" w:color="000000" w:fill="BDD7EE"/>
            <w:vAlign w:val="center"/>
            <w:hideMark/>
          </w:tcPr>
          <w:p w14:paraId="670E76C3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8C5525" w:rsidRPr="008C5525" w14:paraId="355DF133" w14:textId="77777777" w:rsidTr="008C5525">
        <w:trPr>
          <w:trHeight w:val="283"/>
          <w:jc w:val="center"/>
        </w:trPr>
        <w:tc>
          <w:tcPr>
            <w:tcW w:w="4815" w:type="dxa"/>
            <w:shd w:val="clear" w:color="000000" w:fill="DDEBF7"/>
            <w:vAlign w:val="center"/>
            <w:hideMark/>
          </w:tcPr>
          <w:p w14:paraId="5DB5E54A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 100101 IZDACI I RASHODI ZA OTPLATU KREDITA</w:t>
            </w:r>
          </w:p>
        </w:tc>
        <w:tc>
          <w:tcPr>
            <w:tcW w:w="1276" w:type="dxa"/>
            <w:shd w:val="clear" w:color="000000" w:fill="DDEBF7"/>
            <w:vAlign w:val="center"/>
            <w:hideMark/>
          </w:tcPr>
          <w:p w14:paraId="262A3342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429.591,49</w:t>
            </w:r>
          </w:p>
        </w:tc>
        <w:tc>
          <w:tcPr>
            <w:tcW w:w="1165" w:type="dxa"/>
            <w:shd w:val="clear" w:color="000000" w:fill="DDEBF7"/>
            <w:vAlign w:val="center"/>
            <w:hideMark/>
          </w:tcPr>
          <w:p w14:paraId="3BFD299E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423.184,47</w:t>
            </w:r>
          </w:p>
        </w:tc>
        <w:tc>
          <w:tcPr>
            <w:tcW w:w="1041" w:type="dxa"/>
            <w:shd w:val="clear" w:color="000000" w:fill="DDEBF7"/>
            <w:vAlign w:val="center"/>
            <w:hideMark/>
          </w:tcPr>
          <w:p w14:paraId="7A32668A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423.184,47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7A94BBA8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98,51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36F0223B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8C5525" w:rsidRPr="008C5525" w14:paraId="16737A48" w14:textId="77777777" w:rsidTr="008C5525">
        <w:trPr>
          <w:trHeight w:val="283"/>
          <w:jc w:val="center"/>
        </w:trPr>
        <w:tc>
          <w:tcPr>
            <w:tcW w:w="4815" w:type="dxa"/>
            <w:shd w:val="clear" w:color="000000" w:fill="FFFFFF"/>
            <w:vAlign w:val="center"/>
            <w:hideMark/>
          </w:tcPr>
          <w:p w14:paraId="6FFAFB1B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A8022E3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29.591,49</w:t>
            </w:r>
          </w:p>
        </w:tc>
        <w:tc>
          <w:tcPr>
            <w:tcW w:w="1165" w:type="dxa"/>
            <w:shd w:val="clear" w:color="000000" w:fill="FFFFFF"/>
            <w:vAlign w:val="center"/>
            <w:hideMark/>
          </w:tcPr>
          <w:p w14:paraId="70C71D7A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23.184,47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14:paraId="21C2C84F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23.184,47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88B4342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78,35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1A01C89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8C5525" w:rsidRPr="008C5525" w14:paraId="7E51A90A" w14:textId="77777777" w:rsidTr="008C5525">
        <w:trPr>
          <w:trHeight w:val="283"/>
          <w:jc w:val="center"/>
        </w:trPr>
        <w:tc>
          <w:tcPr>
            <w:tcW w:w="4815" w:type="dxa"/>
            <w:shd w:val="clear" w:color="000000" w:fill="FFFFFF"/>
            <w:vAlign w:val="center"/>
            <w:hideMark/>
          </w:tcPr>
          <w:p w14:paraId="6726CCB5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6883091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29.591,49</w:t>
            </w:r>
          </w:p>
        </w:tc>
        <w:tc>
          <w:tcPr>
            <w:tcW w:w="1165" w:type="dxa"/>
            <w:shd w:val="clear" w:color="000000" w:fill="FFFFFF"/>
            <w:vAlign w:val="center"/>
            <w:hideMark/>
          </w:tcPr>
          <w:p w14:paraId="41BC0B55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23.184,47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14:paraId="660BA1DB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23.184,47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74D3090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78,35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174CF4A2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8C5525" w:rsidRPr="008C5525" w14:paraId="3AA5F135" w14:textId="77777777" w:rsidTr="008C5525">
        <w:trPr>
          <w:trHeight w:val="283"/>
          <w:jc w:val="center"/>
        </w:trPr>
        <w:tc>
          <w:tcPr>
            <w:tcW w:w="4815" w:type="dxa"/>
            <w:shd w:val="clear" w:color="000000" w:fill="FFFFFF"/>
            <w:vAlign w:val="center"/>
            <w:hideMark/>
          </w:tcPr>
          <w:p w14:paraId="1DCEDBB2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 Izdaci za financijsku imovinu i otplate zajmova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3CF0745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165" w:type="dxa"/>
            <w:shd w:val="clear" w:color="000000" w:fill="FFFFFF"/>
            <w:vAlign w:val="center"/>
            <w:hideMark/>
          </w:tcPr>
          <w:p w14:paraId="5856A01B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14:paraId="0E4914F0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4B4E899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4B4BEBE8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8C5525" w:rsidRPr="008C5525" w14:paraId="4A6E1B2D" w14:textId="77777777" w:rsidTr="008C5525">
        <w:trPr>
          <w:trHeight w:val="283"/>
          <w:jc w:val="center"/>
        </w:trPr>
        <w:tc>
          <w:tcPr>
            <w:tcW w:w="4815" w:type="dxa"/>
            <w:shd w:val="clear" w:color="000000" w:fill="FFFFFF"/>
            <w:vAlign w:val="center"/>
            <w:hideMark/>
          </w:tcPr>
          <w:p w14:paraId="0B235480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 Izdaci za otplatu glavnice primljenih kredita i zajmova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6D6899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165" w:type="dxa"/>
            <w:shd w:val="clear" w:color="000000" w:fill="FFFFFF"/>
            <w:vAlign w:val="center"/>
            <w:hideMark/>
          </w:tcPr>
          <w:p w14:paraId="315294F8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14:paraId="4829AA56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1788095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6E997B8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</w:tbl>
    <w:p w14:paraId="798AA130" w14:textId="77777777" w:rsidR="000B3A72" w:rsidRPr="00CD5B87" w:rsidRDefault="000B3A72" w:rsidP="00EC6EAF">
      <w:pPr>
        <w:pStyle w:val="Naslov3"/>
      </w:pPr>
      <w:bookmarkStart w:id="47" w:name="_Toc224047556"/>
      <w:r w:rsidRPr="00CD5B87">
        <w:t>PROGRAM 1002: REDOVITO ODRŽAVANJE CESTA</w:t>
      </w:r>
      <w:bookmarkEnd w:id="47"/>
    </w:p>
    <w:p w14:paraId="35217B0C" w14:textId="0E7F5D37" w:rsidR="007969EA" w:rsidRDefault="007969EA" w:rsidP="007969EA">
      <w:pPr>
        <w:jc w:val="both"/>
      </w:pPr>
      <w:r>
        <w:t>Redovito održavanje cesta čini skup mjera i radnji koje se obavljaju tijekom većeg dijela ili cijele godine na cestama uključujući i sve objekte i instalacije, sa svrhom održavanja prohodnosti i tehničke ispravnosti ceste i sigurnosti prometa na njima.</w:t>
      </w:r>
    </w:p>
    <w:p w14:paraId="53BF4405" w14:textId="65507C92" w:rsidR="007969EA" w:rsidRDefault="007969EA" w:rsidP="007969EA">
      <w:pPr>
        <w:jc w:val="both"/>
      </w:pPr>
      <w:r>
        <w:t>Radovi redovitog održavanja i zaštite cesta za 202</w:t>
      </w:r>
      <w:r w:rsidR="00294466">
        <w:t>5</w:t>
      </w:r>
      <w:r>
        <w:t>. godinu izvršeni su temeljem:</w:t>
      </w:r>
    </w:p>
    <w:p w14:paraId="345140F7" w14:textId="77777777" w:rsidR="00294466" w:rsidRDefault="007969EA" w:rsidP="00944B9D">
      <w:pPr>
        <w:pStyle w:val="Odlomakpopisa"/>
        <w:numPr>
          <w:ilvl w:val="0"/>
          <w:numId w:val="8"/>
        </w:numPr>
        <w:spacing w:before="120" w:after="120" w:line="240" w:lineRule="auto"/>
        <w:ind w:left="147"/>
        <w:contextualSpacing w:val="0"/>
        <w:jc w:val="both"/>
      </w:pPr>
      <w:r>
        <w:t>Standarda održavanja i zaštite javnih cesta (izrađenog od strane Hrvatskih cest</w:t>
      </w:r>
      <w:r w:rsidR="00C9731F">
        <w:t>a d.o.o. - lipanj 2005. godine),</w:t>
      </w:r>
    </w:p>
    <w:p w14:paraId="2519041F" w14:textId="46526359" w:rsidR="007969EA" w:rsidRDefault="007969EA" w:rsidP="00944B9D">
      <w:pPr>
        <w:pStyle w:val="Odlomakpopisa"/>
        <w:numPr>
          <w:ilvl w:val="0"/>
          <w:numId w:val="8"/>
        </w:numPr>
        <w:spacing w:before="120" w:after="120" w:line="240" w:lineRule="auto"/>
        <w:ind w:left="147"/>
        <w:contextualSpacing w:val="0"/>
        <w:jc w:val="both"/>
      </w:pPr>
      <w:r>
        <w:t>Okvirnog sporazuma - Redovito održavanje županijskih i lokalnih cesta na području Primorsko-goranske županije za razdoblje od 2021. do 2025. godine, KLASA: 340-09/21-10/26, URBROJ: 2170-01</w:t>
      </w:r>
      <w:r w:rsidR="00294466">
        <w:t xml:space="preserve">/02-21-13 od 30.04.2021. godine i Okvirnog sporazuma – Redovito održavanje županijskih i lokalnih cesta na području Primorsko-goranske županije za razdoblje od 2025. do 2029. godine, KLASA: 406-01/25-01/6, URBROJ: 2170-48-01/06-25-11 od 18.04.2025. godine, </w:t>
      </w:r>
      <w:r w:rsidR="00294466" w:rsidRPr="00294466">
        <w:t>zaključenim s izvoditeljem Ceste-Rijeka d.o.o., Industrijska zona Kukuljanovo 377, Kukuljanovo</w:t>
      </w:r>
      <w:r w:rsidR="00FE7898">
        <w:t>,</w:t>
      </w:r>
    </w:p>
    <w:p w14:paraId="5ADFC4DD" w14:textId="77777777" w:rsidR="00294466" w:rsidRDefault="00265945" w:rsidP="00944B9D">
      <w:pPr>
        <w:pStyle w:val="Odlomakpopisa"/>
        <w:numPr>
          <w:ilvl w:val="0"/>
          <w:numId w:val="8"/>
        </w:numPr>
        <w:spacing w:before="120" w:after="120" w:line="240" w:lineRule="auto"/>
        <w:ind w:left="147"/>
        <w:contextualSpacing w:val="0"/>
        <w:jc w:val="both"/>
      </w:pPr>
      <w:r>
        <w:t xml:space="preserve">Dodatka I. </w:t>
      </w:r>
      <w:r w:rsidR="004A0904">
        <w:t>O</w:t>
      </w:r>
      <w:r>
        <w:t xml:space="preserve">kvirnog </w:t>
      </w:r>
      <w:r w:rsidR="004A0904">
        <w:t>s</w:t>
      </w:r>
      <w:r>
        <w:t>porazuma - Redovito održavanje županijskih i lokalnih cesta na području Primorsko-goranske županije, KLASA: 340-09/21-10/26, URBROJ: 2170-48-01/06-24-4 od 19.12.2024. godine; zaključenim s izvoditeljem Ceste-Rijeka d.o.o., Industrijska zo</w:t>
      </w:r>
      <w:r w:rsidR="007156B6">
        <w:t>na Kukuljanovo 377, Kukuljanovo,</w:t>
      </w:r>
    </w:p>
    <w:p w14:paraId="7EDE7998" w14:textId="61BA1F27" w:rsidR="00294466" w:rsidRDefault="00294466" w:rsidP="00944B9D">
      <w:pPr>
        <w:pStyle w:val="Odlomakpopisa"/>
        <w:numPr>
          <w:ilvl w:val="0"/>
          <w:numId w:val="8"/>
        </w:numPr>
        <w:spacing w:before="120" w:after="120" w:line="240" w:lineRule="auto"/>
        <w:ind w:left="147"/>
        <w:contextualSpacing w:val="0"/>
        <w:jc w:val="both"/>
      </w:pPr>
      <w:r w:rsidRPr="00294466">
        <w:t xml:space="preserve">Ugovora o javnoj nabavi - Redovito održavanje županijskih i lokalnih cesta na području Primorsko-goranske županije za razdoblje od 1. siječnja 2025. godine do </w:t>
      </w:r>
      <w:r w:rsidR="007707CD">
        <w:t>30</w:t>
      </w:r>
      <w:r w:rsidRPr="00294466">
        <w:t xml:space="preserve">. </w:t>
      </w:r>
      <w:r w:rsidR="007707CD">
        <w:t>travnja</w:t>
      </w:r>
      <w:r w:rsidRPr="00294466">
        <w:t xml:space="preserve"> 2025. godine, KLASA: 340-09/21-10/26, URBROJ: 2170-48-01/06-24-6 od 20.12.2024. godine; zaključenim s izvoditeljem Ceste-Rijeka d.o.o., Industrijska zona Kukuljanovo 377, Kukuljanovo</w:t>
      </w:r>
      <w:r w:rsidR="00FE7898">
        <w:t>,</w:t>
      </w:r>
    </w:p>
    <w:p w14:paraId="4BBFD86D" w14:textId="25C8D9C4" w:rsidR="007969EA" w:rsidRDefault="007969EA" w:rsidP="00944B9D">
      <w:pPr>
        <w:pStyle w:val="Odlomakpopisa"/>
        <w:numPr>
          <w:ilvl w:val="0"/>
          <w:numId w:val="8"/>
        </w:numPr>
        <w:spacing w:before="120" w:after="120" w:line="240" w:lineRule="auto"/>
        <w:ind w:left="147"/>
        <w:contextualSpacing w:val="0"/>
        <w:jc w:val="both"/>
      </w:pPr>
      <w:r>
        <w:lastRenderedPageBreak/>
        <w:t xml:space="preserve">Ugovora o javnoj nabavi - Redovito održavanje županijskih i lokalnih cesta na području Primorsko-goranske županije za razdoblje od 1. </w:t>
      </w:r>
      <w:r w:rsidR="007707CD">
        <w:t>svibnja</w:t>
      </w:r>
      <w:r>
        <w:t xml:space="preserve"> 202</w:t>
      </w:r>
      <w:r w:rsidR="00294466">
        <w:t>5</w:t>
      </w:r>
      <w:r>
        <w:t>. godine do 31. prosinca 202</w:t>
      </w:r>
      <w:r w:rsidR="00294466">
        <w:t>5</w:t>
      </w:r>
      <w:r>
        <w:t xml:space="preserve">. godine, KLASA: </w:t>
      </w:r>
      <w:r w:rsidR="007707CD">
        <w:t>406-01/25-01/6</w:t>
      </w:r>
      <w:r>
        <w:t xml:space="preserve">, URBROJ: </w:t>
      </w:r>
      <w:r w:rsidR="007707CD">
        <w:t>2170-48-01/06-25-12</w:t>
      </w:r>
      <w:r>
        <w:t xml:space="preserve"> od </w:t>
      </w:r>
      <w:r w:rsidR="00294466">
        <w:t>2</w:t>
      </w:r>
      <w:r w:rsidR="007707CD">
        <w:t>8</w:t>
      </w:r>
      <w:r w:rsidR="00294466">
        <w:t>.</w:t>
      </w:r>
      <w:r w:rsidR="007707CD">
        <w:t>04</w:t>
      </w:r>
      <w:r w:rsidR="00294466">
        <w:t>.202</w:t>
      </w:r>
      <w:r w:rsidR="007707CD">
        <w:t>5</w:t>
      </w:r>
      <w:r>
        <w:t>. godine; zaključenim s izvoditeljem Ceste-Rijeka d.o.o., Industrijska zo</w:t>
      </w:r>
      <w:r w:rsidR="00FE7898">
        <w:t>na Kukuljanovo 377, Kukuljanovo.</w:t>
      </w:r>
    </w:p>
    <w:p w14:paraId="5656AD24" w14:textId="5B44533A" w:rsidR="000B3A72" w:rsidRPr="00CD5B87" w:rsidRDefault="007969EA" w:rsidP="00755519">
      <w:pPr>
        <w:tabs>
          <w:tab w:val="left" w:pos="426"/>
        </w:tabs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Program redovitog održavanja cesta obuhvaća sljedeće </w:t>
      </w:r>
      <w:r w:rsidR="000B3A72" w:rsidRPr="00CD5B87">
        <w:rPr>
          <w:rFonts w:cstheme="minorHAnsi"/>
        </w:rPr>
        <w:t>aktivnosti:</w:t>
      </w:r>
    </w:p>
    <w:p w14:paraId="01B159B3" w14:textId="4B8C1D6F" w:rsidR="000B3A72" w:rsidRPr="000F2DAD" w:rsidRDefault="000B3A72" w:rsidP="00944B9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>nadziranje i pregled cesta i objekata,</w:t>
      </w:r>
    </w:p>
    <w:p w14:paraId="0BCAEAA4" w14:textId="75719209" w:rsidR="000B3A72" w:rsidRPr="000F2DAD" w:rsidRDefault="000B3A72" w:rsidP="00944B9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 xml:space="preserve">održavanje kolnika, </w:t>
      </w:r>
    </w:p>
    <w:p w14:paraId="02985B6B" w14:textId="66F2BF3A" w:rsidR="000B3A72" w:rsidRPr="000F2DAD" w:rsidRDefault="000B3A72" w:rsidP="00944B9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 xml:space="preserve">održavanje bankina i </w:t>
      </w:r>
      <w:proofErr w:type="spellStart"/>
      <w:r w:rsidRPr="000F2DAD">
        <w:rPr>
          <w:rFonts w:cstheme="minorHAnsi"/>
        </w:rPr>
        <w:t>berme</w:t>
      </w:r>
      <w:proofErr w:type="spellEnd"/>
      <w:r w:rsidRPr="000F2DAD">
        <w:rPr>
          <w:rFonts w:cstheme="minorHAnsi"/>
        </w:rPr>
        <w:t>,</w:t>
      </w:r>
    </w:p>
    <w:p w14:paraId="29F7C711" w14:textId="29616808" w:rsidR="000B3A72" w:rsidRPr="000F2DAD" w:rsidRDefault="000B3A72" w:rsidP="00944B9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>održavanje usjeka, zasjeka i nasipa,</w:t>
      </w:r>
    </w:p>
    <w:p w14:paraId="219CB265" w14:textId="6F56FB25" w:rsidR="000B3A72" w:rsidRPr="000F2DAD" w:rsidRDefault="000B3A72" w:rsidP="00944B9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>o</w:t>
      </w:r>
      <w:r w:rsidR="00C3453F">
        <w:rPr>
          <w:rFonts w:cstheme="minorHAnsi"/>
        </w:rPr>
        <w:t>državanje objekata za odvodnju,</w:t>
      </w:r>
    </w:p>
    <w:p w14:paraId="1374A0C4" w14:textId="037AEEA5" w:rsidR="000B3A72" w:rsidRPr="000F2DAD" w:rsidRDefault="000B3A72" w:rsidP="00944B9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>održavanje opreme ceste,</w:t>
      </w:r>
    </w:p>
    <w:p w14:paraId="7C482B08" w14:textId="0C4A54AE" w:rsidR="000B3A72" w:rsidRPr="000F2DAD" w:rsidRDefault="000B3A72" w:rsidP="00944B9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>košnja trave i zelenila,</w:t>
      </w:r>
    </w:p>
    <w:p w14:paraId="77A7DC12" w14:textId="78F1C650" w:rsidR="000B3A72" w:rsidRPr="000F2DAD" w:rsidRDefault="000B3A72" w:rsidP="00944B9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>održavanje objekata,</w:t>
      </w:r>
    </w:p>
    <w:p w14:paraId="7DB29CA4" w14:textId="54343464" w:rsidR="000B3A72" w:rsidRPr="000F2DAD" w:rsidRDefault="000B3A72" w:rsidP="00944B9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>od</w:t>
      </w:r>
      <w:r w:rsidR="00755519">
        <w:rPr>
          <w:rFonts w:cstheme="minorHAnsi"/>
        </w:rPr>
        <w:t xml:space="preserve">ržavanje sustava, instalacija, </w:t>
      </w:r>
      <w:r w:rsidRPr="000F2DAD">
        <w:rPr>
          <w:rFonts w:cstheme="minorHAnsi"/>
        </w:rPr>
        <w:t>uređaja</w:t>
      </w:r>
      <w:r w:rsidR="00755519">
        <w:rPr>
          <w:rFonts w:cstheme="minorHAnsi"/>
        </w:rPr>
        <w:t xml:space="preserve"> i opreme na cestama i objektima</w:t>
      </w:r>
      <w:r w:rsidRPr="000F2DAD">
        <w:rPr>
          <w:rFonts w:cstheme="minorHAnsi"/>
        </w:rPr>
        <w:t>,</w:t>
      </w:r>
    </w:p>
    <w:p w14:paraId="48303464" w14:textId="4C6A0663" w:rsidR="000B3A72" w:rsidRPr="000F2DAD" w:rsidRDefault="000B3A72" w:rsidP="00944B9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 w:rsidRPr="000F2DAD">
        <w:rPr>
          <w:rFonts w:cstheme="minorHAnsi"/>
        </w:rPr>
        <w:t xml:space="preserve">održavanje cesta </w:t>
      </w:r>
      <w:r w:rsidR="00101050">
        <w:rPr>
          <w:rFonts w:cstheme="minorHAnsi"/>
        </w:rPr>
        <w:t xml:space="preserve">i objekata </w:t>
      </w:r>
      <w:r w:rsidRPr="000F2DAD">
        <w:rPr>
          <w:rFonts w:cstheme="minorHAnsi"/>
        </w:rPr>
        <w:t>u zimskim uvjetima,</w:t>
      </w:r>
    </w:p>
    <w:p w14:paraId="7C56C10F" w14:textId="1A83CF0C" w:rsidR="000B3A72" w:rsidRPr="000F2DAD" w:rsidRDefault="000F2DAD" w:rsidP="00944B9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ostali radovi</w:t>
      </w:r>
      <w:r w:rsidR="00101050">
        <w:rPr>
          <w:rFonts w:cstheme="minorHAnsi"/>
        </w:rPr>
        <w:t>,</w:t>
      </w:r>
      <w:r>
        <w:rPr>
          <w:rFonts w:cstheme="minorHAnsi"/>
        </w:rPr>
        <w:t xml:space="preserve"> </w:t>
      </w:r>
    </w:p>
    <w:p w14:paraId="27394966" w14:textId="4DAAB2FC" w:rsidR="000B3A72" w:rsidRDefault="000F2DAD" w:rsidP="00944B9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nabava soli za posipanje</w:t>
      </w:r>
      <w:r w:rsidR="00101050">
        <w:rPr>
          <w:rFonts w:cstheme="minorHAnsi"/>
        </w:rPr>
        <w:t>,</w:t>
      </w:r>
    </w:p>
    <w:p w14:paraId="71CAC9E6" w14:textId="0BB07A23" w:rsidR="00755519" w:rsidRDefault="00755519" w:rsidP="00944B9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razlika u cijeni,</w:t>
      </w:r>
    </w:p>
    <w:p w14:paraId="27BAD2CF" w14:textId="2B348A30" w:rsidR="000F2DAD" w:rsidRPr="00CD7A7B" w:rsidRDefault="00101050" w:rsidP="00944B9D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objedinjeni iznos</w:t>
      </w:r>
      <w:r w:rsidR="000F2DAD" w:rsidRPr="00CD7A7B">
        <w:rPr>
          <w:rFonts w:cstheme="minorHAnsi"/>
        </w:rPr>
        <w:t>.</w:t>
      </w:r>
    </w:p>
    <w:p w14:paraId="2A3408D6" w14:textId="2F2AD694" w:rsidR="000B3A72" w:rsidRPr="00CD5B87" w:rsidRDefault="000B3A72" w:rsidP="00755519">
      <w:pPr>
        <w:spacing w:before="120"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Za program redovitog odr</w:t>
      </w:r>
      <w:r w:rsidR="00BB7CFA">
        <w:rPr>
          <w:rFonts w:cstheme="minorHAnsi"/>
        </w:rPr>
        <w:t>ž</w:t>
      </w:r>
      <w:r w:rsidR="00060840">
        <w:rPr>
          <w:rFonts w:cstheme="minorHAnsi"/>
        </w:rPr>
        <w:t xml:space="preserve">avanja cesta planirano je </w:t>
      </w:r>
      <w:r w:rsidR="007707CD">
        <w:rPr>
          <w:rFonts w:cstheme="minorHAnsi"/>
        </w:rPr>
        <w:t>6.894.900,01</w:t>
      </w:r>
      <w:r w:rsidR="007A684B">
        <w:rPr>
          <w:rFonts w:cstheme="minorHAnsi"/>
        </w:rPr>
        <w:t xml:space="preserve"> eur</w:t>
      </w:r>
      <w:r w:rsidR="00B277FA">
        <w:rPr>
          <w:rFonts w:cstheme="minorHAnsi"/>
        </w:rPr>
        <w:t>a</w:t>
      </w:r>
      <w:r w:rsidR="00060840">
        <w:rPr>
          <w:rFonts w:cstheme="minorHAnsi"/>
        </w:rPr>
        <w:t xml:space="preserve">, a utrošeno </w:t>
      </w:r>
      <w:r w:rsidR="007707CD">
        <w:rPr>
          <w:rFonts w:cstheme="minorHAnsi"/>
        </w:rPr>
        <w:t>6.697.877,27</w:t>
      </w:r>
      <w:r w:rsidR="007A684B">
        <w:rPr>
          <w:rFonts w:cstheme="minorHAnsi"/>
        </w:rPr>
        <w:t xml:space="preserve"> eur</w:t>
      </w:r>
      <w:r w:rsidR="00B277FA">
        <w:rPr>
          <w:rFonts w:cstheme="minorHAnsi"/>
        </w:rPr>
        <w:t>a</w:t>
      </w:r>
      <w:r w:rsidR="00060840">
        <w:rPr>
          <w:rFonts w:cstheme="minorHAnsi"/>
        </w:rPr>
        <w:t xml:space="preserve"> ili </w:t>
      </w:r>
      <w:r w:rsidR="007707CD">
        <w:rPr>
          <w:rFonts w:cstheme="minorHAnsi"/>
        </w:rPr>
        <w:t>97,14</w:t>
      </w:r>
      <w:r w:rsidRPr="00CD5B87">
        <w:rPr>
          <w:rFonts w:cstheme="minorHAnsi"/>
        </w:rPr>
        <w:t>% godišnjeg plana.</w:t>
      </w:r>
    </w:p>
    <w:p w14:paraId="2943D289" w14:textId="54074F67" w:rsidR="000B3A72" w:rsidRPr="00CD5B87" w:rsidRDefault="000B3A72" w:rsidP="000B3A72">
      <w:pPr>
        <w:spacing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Sredstva su utrošena za provedbu aktivnosti prikazanih u tablici koja slijedi:</w:t>
      </w:r>
      <w:bookmarkStart w:id="48" w:name="_Toc14864209"/>
    </w:p>
    <w:p w14:paraId="47EE7013" w14:textId="6FDE09D5" w:rsidR="00615098" w:rsidRPr="00615098" w:rsidRDefault="00615098" w:rsidP="00615098">
      <w:pPr>
        <w:pStyle w:val="Opisslike"/>
        <w:keepNext/>
        <w:spacing w:after="120"/>
        <w:rPr>
          <w:i w:val="0"/>
          <w:color w:val="222A35" w:themeColor="text2" w:themeShade="80"/>
          <w:sz w:val="22"/>
          <w:szCs w:val="22"/>
        </w:rPr>
      </w:pPr>
      <w:bookmarkStart w:id="49" w:name="_Toc224047010"/>
      <w:r w:rsidRPr="00615098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615098">
        <w:rPr>
          <w:i w:val="0"/>
          <w:color w:val="222A35" w:themeColor="text2" w:themeShade="80"/>
          <w:sz w:val="22"/>
          <w:szCs w:val="22"/>
        </w:rPr>
        <w:fldChar w:fldCharType="begin"/>
      </w:r>
      <w:r w:rsidRPr="00615098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615098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10</w:t>
      </w:r>
      <w:r w:rsidRPr="00615098">
        <w:rPr>
          <w:i w:val="0"/>
          <w:color w:val="222A35" w:themeColor="text2" w:themeShade="80"/>
          <w:sz w:val="22"/>
          <w:szCs w:val="22"/>
        </w:rPr>
        <w:fldChar w:fldCharType="end"/>
      </w:r>
      <w:r w:rsidRPr="00615098">
        <w:rPr>
          <w:i w:val="0"/>
          <w:color w:val="222A35" w:themeColor="text2" w:themeShade="80"/>
          <w:sz w:val="22"/>
          <w:szCs w:val="22"/>
        </w:rPr>
        <w:t xml:space="preserve">. Izvršenje Programa 1002: </w:t>
      </w:r>
      <w:r w:rsidR="009859CA">
        <w:rPr>
          <w:i w:val="0"/>
          <w:color w:val="222A35" w:themeColor="text2" w:themeShade="80"/>
          <w:sz w:val="22"/>
          <w:szCs w:val="22"/>
        </w:rPr>
        <w:t>Redovito održavanje cesta u 2025</w:t>
      </w:r>
      <w:r w:rsidRPr="00615098">
        <w:rPr>
          <w:i w:val="0"/>
          <w:color w:val="222A35" w:themeColor="text2" w:themeShade="80"/>
          <w:sz w:val="22"/>
          <w:szCs w:val="22"/>
        </w:rPr>
        <w:t>. godini</w:t>
      </w:r>
      <w:bookmarkEnd w:id="49"/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1180"/>
        <w:gridCol w:w="1229"/>
        <w:gridCol w:w="1180"/>
        <w:gridCol w:w="719"/>
        <w:gridCol w:w="718"/>
      </w:tblGrid>
      <w:tr w:rsidR="008C5525" w:rsidRPr="008C5525" w14:paraId="36392D3D" w14:textId="77777777" w:rsidTr="009859CA">
        <w:trPr>
          <w:trHeight w:val="480"/>
          <w:jc w:val="center"/>
        </w:trPr>
        <w:tc>
          <w:tcPr>
            <w:tcW w:w="4689" w:type="dxa"/>
            <w:shd w:val="clear" w:color="000000" w:fill="DDEBF7"/>
            <w:noWrap/>
            <w:vAlign w:val="center"/>
            <w:hideMark/>
          </w:tcPr>
          <w:bookmarkEnd w:id="48"/>
          <w:p w14:paraId="59F8D264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Brojčana oznaka i naziv </w:t>
            </w:r>
          </w:p>
        </w:tc>
        <w:tc>
          <w:tcPr>
            <w:tcW w:w="1180" w:type="dxa"/>
            <w:shd w:val="clear" w:color="000000" w:fill="DDEBF7"/>
            <w:vAlign w:val="center"/>
            <w:hideMark/>
          </w:tcPr>
          <w:p w14:paraId="39AC330D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1229" w:type="dxa"/>
            <w:shd w:val="clear" w:color="000000" w:fill="DDEBF7"/>
            <w:vAlign w:val="center"/>
            <w:hideMark/>
          </w:tcPr>
          <w:p w14:paraId="1E2F42B5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</w:t>
            </w: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180" w:type="dxa"/>
            <w:shd w:val="clear" w:color="000000" w:fill="DDEBF7"/>
            <w:vAlign w:val="center"/>
            <w:hideMark/>
          </w:tcPr>
          <w:p w14:paraId="161ECA16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363B678A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4./2. </w:t>
            </w:r>
          </w:p>
        </w:tc>
        <w:tc>
          <w:tcPr>
            <w:tcW w:w="718" w:type="dxa"/>
            <w:shd w:val="clear" w:color="000000" w:fill="DDEBF7"/>
            <w:vAlign w:val="center"/>
            <w:hideMark/>
          </w:tcPr>
          <w:p w14:paraId="1FFFDFCB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4./3. </w:t>
            </w:r>
          </w:p>
        </w:tc>
      </w:tr>
      <w:tr w:rsidR="008C5525" w:rsidRPr="008C5525" w14:paraId="45B2BEA6" w14:textId="77777777" w:rsidTr="009859CA">
        <w:trPr>
          <w:trHeight w:val="70"/>
          <w:jc w:val="center"/>
        </w:trPr>
        <w:tc>
          <w:tcPr>
            <w:tcW w:w="4689" w:type="dxa"/>
            <w:shd w:val="clear" w:color="000000" w:fill="DDEBF7"/>
            <w:noWrap/>
            <w:vAlign w:val="center"/>
            <w:hideMark/>
          </w:tcPr>
          <w:p w14:paraId="4A89435E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180" w:type="dxa"/>
            <w:shd w:val="clear" w:color="000000" w:fill="DDEBF7"/>
            <w:noWrap/>
            <w:vAlign w:val="center"/>
            <w:hideMark/>
          </w:tcPr>
          <w:p w14:paraId="0EEA4E8F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29" w:type="dxa"/>
            <w:shd w:val="clear" w:color="000000" w:fill="DDEBF7"/>
            <w:noWrap/>
            <w:vAlign w:val="center"/>
            <w:hideMark/>
          </w:tcPr>
          <w:p w14:paraId="4DD47C85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180" w:type="dxa"/>
            <w:shd w:val="clear" w:color="000000" w:fill="DDEBF7"/>
            <w:noWrap/>
            <w:vAlign w:val="center"/>
            <w:hideMark/>
          </w:tcPr>
          <w:p w14:paraId="6BB9D979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719" w:type="dxa"/>
            <w:shd w:val="clear" w:color="000000" w:fill="DDEBF7"/>
            <w:noWrap/>
            <w:vAlign w:val="center"/>
            <w:hideMark/>
          </w:tcPr>
          <w:p w14:paraId="53D8EB05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18" w:type="dxa"/>
            <w:shd w:val="clear" w:color="000000" w:fill="DDEBF7"/>
            <w:noWrap/>
            <w:vAlign w:val="center"/>
            <w:hideMark/>
          </w:tcPr>
          <w:p w14:paraId="43BD0698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8C5525" w:rsidRPr="008C5525" w14:paraId="3190F18A" w14:textId="77777777" w:rsidTr="009859CA">
        <w:trPr>
          <w:trHeight w:val="283"/>
          <w:jc w:val="center"/>
        </w:trPr>
        <w:tc>
          <w:tcPr>
            <w:tcW w:w="4689" w:type="dxa"/>
            <w:shd w:val="clear" w:color="000000" w:fill="BDD7EE"/>
            <w:vAlign w:val="center"/>
            <w:hideMark/>
          </w:tcPr>
          <w:p w14:paraId="7548C071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Program: 1002 REDOVITO ODRŽAVANJE CESTA</w:t>
            </w:r>
          </w:p>
        </w:tc>
        <w:tc>
          <w:tcPr>
            <w:tcW w:w="1180" w:type="dxa"/>
            <w:shd w:val="clear" w:color="000000" w:fill="BDD7EE"/>
            <w:vAlign w:val="center"/>
            <w:hideMark/>
          </w:tcPr>
          <w:p w14:paraId="030B9C9A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6.369.222,54</w:t>
            </w:r>
          </w:p>
        </w:tc>
        <w:tc>
          <w:tcPr>
            <w:tcW w:w="1229" w:type="dxa"/>
            <w:shd w:val="clear" w:color="000000" w:fill="BDD7EE"/>
            <w:vAlign w:val="center"/>
            <w:hideMark/>
          </w:tcPr>
          <w:p w14:paraId="6F8362A2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6.894.900,01</w:t>
            </w:r>
          </w:p>
        </w:tc>
        <w:tc>
          <w:tcPr>
            <w:tcW w:w="1180" w:type="dxa"/>
            <w:shd w:val="clear" w:color="000000" w:fill="BDD7EE"/>
            <w:vAlign w:val="center"/>
            <w:hideMark/>
          </w:tcPr>
          <w:p w14:paraId="1E6BE4E1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6.697.877,27</w:t>
            </w:r>
          </w:p>
        </w:tc>
        <w:tc>
          <w:tcPr>
            <w:tcW w:w="719" w:type="dxa"/>
            <w:shd w:val="clear" w:color="000000" w:fill="BDD7EE"/>
            <w:vAlign w:val="center"/>
            <w:hideMark/>
          </w:tcPr>
          <w:p w14:paraId="2C38583E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105,16</w:t>
            </w:r>
          </w:p>
        </w:tc>
        <w:tc>
          <w:tcPr>
            <w:tcW w:w="718" w:type="dxa"/>
            <w:shd w:val="clear" w:color="000000" w:fill="BDD7EE"/>
            <w:vAlign w:val="center"/>
            <w:hideMark/>
          </w:tcPr>
          <w:p w14:paraId="089E0776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97,14</w:t>
            </w:r>
          </w:p>
        </w:tc>
      </w:tr>
      <w:tr w:rsidR="008C5525" w:rsidRPr="008C5525" w14:paraId="41C8EB14" w14:textId="77777777" w:rsidTr="009859CA">
        <w:trPr>
          <w:trHeight w:val="283"/>
          <w:jc w:val="center"/>
        </w:trPr>
        <w:tc>
          <w:tcPr>
            <w:tcW w:w="4689" w:type="dxa"/>
            <w:shd w:val="clear" w:color="000000" w:fill="FFFFFF"/>
            <w:vAlign w:val="center"/>
            <w:hideMark/>
          </w:tcPr>
          <w:p w14:paraId="208F1367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100201 NADZIRANJE I PREGLED CESTA I OBJEKTA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BE808D9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328.696,57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14:paraId="7FA829AC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435.009,42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1539834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437.871,40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F02F24F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133,21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1F169E70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100,66</w:t>
            </w:r>
          </w:p>
        </w:tc>
      </w:tr>
      <w:tr w:rsidR="008C5525" w:rsidRPr="008C5525" w14:paraId="4D0BE67B" w14:textId="77777777" w:rsidTr="009859CA">
        <w:trPr>
          <w:trHeight w:val="283"/>
          <w:jc w:val="center"/>
        </w:trPr>
        <w:tc>
          <w:tcPr>
            <w:tcW w:w="4689" w:type="dxa"/>
            <w:shd w:val="clear" w:color="000000" w:fill="FFFFFF"/>
            <w:vAlign w:val="center"/>
            <w:hideMark/>
          </w:tcPr>
          <w:p w14:paraId="53EF478A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100202 ODRŽAVANJE KOLNIKA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D985AD7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724.032,64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14:paraId="78E1BE8C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1.035.169,20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757F5E7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1.186.912,90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48147E7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163,93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7EB05077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114,66</w:t>
            </w:r>
          </w:p>
        </w:tc>
      </w:tr>
      <w:tr w:rsidR="008C5525" w:rsidRPr="008C5525" w14:paraId="6F798588" w14:textId="77777777" w:rsidTr="009859CA">
        <w:trPr>
          <w:trHeight w:val="283"/>
          <w:jc w:val="center"/>
        </w:trPr>
        <w:tc>
          <w:tcPr>
            <w:tcW w:w="4689" w:type="dxa"/>
            <w:shd w:val="clear" w:color="000000" w:fill="FFFFFF"/>
            <w:vAlign w:val="center"/>
            <w:hideMark/>
          </w:tcPr>
          <w:p w14:paraId="5C95E342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100203 ODRŽAVANJE BANKINA I BERME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D3C4E5D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350.614,30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14:paraId="0D973B80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391.297,61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DD25EC2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365.957,20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A8A40B3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104,38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74E0CF31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93,52</w:t>
            </w:r>
          </w:p>
        </w:tc>
      </w:tr>
      <w:tr w:rsidR="008C5525" w:rsidRPr="008C5525" w14:paraId="04D7CFC4" w14:textId="77777777" w:rsidTr="009859CA">
        <w:trPr>
          <w:trHeight w:val="283"/>
          <w:jc w:val="center"/>
        </w:trPr>
        <w:tc>
          <w:tcPr>
            <w:tcW w:w="4689" w:type="dxa"/>
            <w:shd w:val="clear" w:color="000000" w:fill="FFFFFF"/>
            <w:vAlign w:val="center"/>
            <w:hideMark/>
          </w:tcPr>
          <w:p w14:paraId="2404A0A1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100204 ODRŽAVANJE USJEKA, ZASJEKA I NASIPA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092FB75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32.331,79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14:paraId="01C58F79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35.421,18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31DD1E0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34.724,52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A094BB3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107,40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51AA1441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98,03</w:t>
            </w:r>
          </w:p>
        </w:tc>
      </w:tr>
      <w:tr w:rsidR="008C5525" w:rsidRPr="008C5525" w14:paraId="6CD659A8" w14:textId="77777777" w:rsidTr="009859CA">
        <w:trPr>
          <w:trHeight w:val="283"/>
          <w:jc w:val="center"/>
        </w:trPr>
        <w:tc>
          <w:tcPr>
            <w:tcW w:w="4689" w:type="dxa"/>
            <w:shd w:val="clear" w:color="000000" w:fill="FFFFFF"/>
            <w:vAlign w:val="center"/>
            <w:hideMark/>
          </w:tcPr>
          <w:p w14:paraId="664A56FC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100205 ODRŽAVANJE OBJEKATA ZA ODVODNJU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CF7F802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268.060,76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14:paraId="5FF2453C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266.423,40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C56E6D6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249.274,34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CE289FD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92,99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79D49EA0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93,56</w:t>
            </w:r>
          </w:p>
        </w:tc>
      </w:tr>
      <w:tr w:rsidR="008C5525" w:rsidRPr="008C5525" w14:paraId="168D3061" w14:textId="77777777" w:rsidTr="009859CA">
        <w:trPr>
          <w:trHeight w:val="283"/>
          <w:jc w:val="center"/>
        </w:trPr>
        <w:tc>
          <w:tcPr>
            <w:tcW w:w="4689" w:type="dxa"/>
            <w:shd w:val="clear" w:color="000000" w:fill="FFFFFF"/>
            <w:vAlign w:val="center"/>
            <w:hideMark/>
          </w:tcPr>
          <w:p w14:paraId="763A73D8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100206 ODRŽAVANJE OPREME CESTE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B7B2260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475.841,08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14:paraId="7DE28EEB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660.810,31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791C999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658.772,51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EEFF914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138,44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47334FE7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99,69</w:t>
            </w:r>
          </w:p>
        </w:tc>
      </w:tr>
      <w:tr w:rsidR="008C5525" w:rsidRPr="008C5525" w14:paraId="344E368E" w14:textId="77777777" w:rsidTr="009859CA">
        <w:trPr>
          <w:trHeight w:val="283"/>
          <w:jc w:val="center"/>
        </w:trPr>
        <w:tc>
          <w:tcPr>
            <w:tcW w:w="4689" w:type="dxa"/>
            <w:shd w:val="clear" w:color="000000" w:fill="FFFFFF"/>
            <w:vAlign w:val="center"/>
            <w:hideMark/>
          </w:tcPr>
          <w:p w14:paraId="4185BC73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100207 KOŠNJA TRAVE I ZELENILA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29B5EFE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681.162,76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14:paraId="5D982098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979.260,59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0275DC2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960.066,88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71449C96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140,95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703820C6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98,04</w:t>
            </w:r>
          </w:p>
        </w:tc>
      </w:tr>
      <w:tr w:rsidR="008C5525" w:rsidRPr="008C5525" w14:paraId="5A4D207F" w14:textId="77777777" w:rsidTr="009859CA">
        <w:trPr>
          <w:trHeight w:val="283"/>
          <w:jc w:val="center"/>
        </w:trPr>
        <w:tc>
          <w:tcPr>
            <w:tcW w:w="4689" w:type="dxa"/>
            <w:shd w:val="clear" w:color="000000" w:fill="FFFFFF"/>
            <w:vAlign w:val="center"/>
            <w:hideMark/>
          </w:tcPr>
          <w:p w14:paraId="378FAB58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100208 ODRŽAVANJE OBJEKTA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DAD2CEE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9.467,00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14:paraId="17A177C3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29.845,59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87C2A64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46.397,47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3E72FACC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490,10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5C0C2DFD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155,46</w:t>
            </w:r>
          </w:p>
        </w:tc>
      </w:tr>
      <w:tr w:rsidR="008C5525" w:rsidRPr="008C5525" w14:paraId="57328F4F" w14:textId="77777777" w:rsidTr="009859CA">
        <w:trPr>
          <w:trHeight w:val="283"/>
          <w:jc w:val="center"/>
        </w:trPr>
        <w:tc>
          <w:tcPr>
            <w:tcW w:w="4689" w:type="dxa"/>
            <w:shd w:val="clear" w:color="000000" w:fill="FFFFFF"/>
            <w:vAlign w:val="center"/>
            <w:hideMark/>
          </w:tcPr>
          <w:p w14:paraId="5BE47CF4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100209 SUSTAVI, INSTALACIJE, UREĐAJI I OPREMA NA CESTAMA I OBJEKTIMA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79A8E28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1.485,37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14:paraId="2F4C757D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1.775,50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34417E6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1.269,94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655A415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85,50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1E845EB9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71,53</w:t>
            </w:r>
          </w:p>
        </w:tc>
      </w:tr>
      <w:tr w:rsidR="008C5525" w:rsidRPr="008C5525" w14:paraId="4918D139" w14:textId="77777777" w:rsidTr="009859CA">
        <w:trPr>
          <w:trHeight w:val="283"/>
          <w:jc w:val="center"/>
        </w:trPr>
        <w:tc>
          <w:tcPr>
            <w:tcW w:w="4689" w:type="dxa"/>
            <w:shd w:val="clear" w:color="000000" w:fill="FFFFFF"/>
            <w:vAlign w:val="center"/>
            <w:hideMark/>
          </w:tcPr>
          <w:p w14:paraId="49B0BB11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100210 ODRŽAVANJE CESTA I OBJEKATA U ZIMSKIM UVJETIMA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C054E33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1.929.992,83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14:paraId="1295B7E6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1.944.877,79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4BC9CF8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1.872.064,84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2DE823B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97,00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4D36C462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96,26</w:t>
            </w:r>
          </w:p>
        </w:tc>
      </w:tr>
      <w:tr w:rsidR="008C5525" w:rsidRPr="008C5525" w14:paraId="235E5444" w14:textId="77777777" w:rsidTr="009859CA">
        <w:trPr>
          <w:trHeight w:val="283"/>
          <w:jc w:val="center"/>
        </w:trPr>
        <w:tc>
          <w:tcPr>
            <w:tcW w:w="4689" w:type="dxa"/>
            <w:shd w:val="clear" w:color="000000" w:fill="FFFFFF"/>
            <w:vAlign w:val="center"/>
            <w:hideMark/>
          </w:tcPr>
          <w:p w14:paraId="581F4794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100211 OSTALI RADOVI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309EABB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52.349,02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14:paraId="6E7EEC56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94.084,97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163D885F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79.086,56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1A551FE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151,08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4E4760ED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84,06</w:t>
            </w:r>
          </w:p>
        </w:tc>
      </w:tr>
      <w:tr w:rsidR="008C5525" w:rsidRPr="008C5525" w14:paraId="27F4C4C0" w14:textId="77777777" w:rsidTr="009859CA">
        <w:trPr>
          <w:trHeight w:val="283"/>
          <w:jc w:val="center"/>
        </w:trPr>
        <w:tc>
          <w:tcPr>
            <w:tcW w:w="4689" w:type="dxa"/>
            <w:shd w:val="clear" w:color="000000" w:fill="FFFFFF"/>
            <w:vAlign w:val="center"/>
            <w:hideMark/>
          </w:tcPr>
          <w:p w14:paraId="74D38B51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100212 NABAVA SOLI ZA POSIPANJE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294A1BA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262.055,93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14:paraId="4B0D4DC9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394.900,01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586E038A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197.932,01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0F8AB813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75,53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57C47CCE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50,12</w:t>
            </w:r>
          </w:p>
        </w:tc>
      </w:tr>
      <w:tr w:rsidR="008C5525" w:rsidRPr="008C5525" w14:paraId="10D35E77" w14:textId="77777777" w:rsidTr="009859CA">
        <w:trPr>
          <w:trHeight w:val="283"/>
          <w:jc w:val="center"/>
        </w:trPr>
        <w:tc>
          <w:tcPr>
            <w:tcW w:w="4689" w:type="dxa"/>
            <w:shd w:val="clear" w:color="000000" w:fill="FFFFFF"/>
            <w:vAlign w:val="center"/>
            <w:hideMark/>
          </w:tcPr>
          <w:p w14:paraId="742CD263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100213 RAZLIKA U CIJENI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6901B98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1.186.489,62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14:paraId="117F8B56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573.998,94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511121F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573.998,94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AF10BB9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48,38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6C5B9797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8C5525" w:rsidRPr="008C5525" w14:paraId="1BE22B03" w14:textId="77777777" w:rsidTr="009859CA">
        <w:trPr>
          <w:trHeight w:val="283"/>
          <w:jc w:val="center"/>
        </w:trPr>
        <w:tc>
          <w:tcPr>
            <w:tcW w:w="4689" w:type="dxa"/>
            <w:shd w:val="clear" w:color="000000" w:fill="FFFFFF"/>
            <w:vAlign w:val="center"/>
            <w:hideMark/>
          </w:tcPr>
          <w:p w14:paraId="17DBB035" w14:textId="77777777" w:rsidR="008C5525" w:rsidRPr="008C5525" w:rsidRDefault="008C5525" w:rsidP="008C55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100214 OBJEDINJENI IZNOS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203A4D6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66.642,87</w:t>
            </w:r>
          </w:p>
        </w:tc>
        <w:tc>
          <w:tcPr>
            <w:tcW w:w="1229" w:type="dxa"/>
            <w:shd w:val="clear" w:color="000000" w:fill="FFFFFF"/>
            <w:vAlign w:val="center"/>
            <w:hideMark/>
          </w:tcPr>
          <w:p w14:paraId="40D79FCD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52.025,50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B1A5131" w14:textId="77777777" w:rsidR="008C5525" w:rsidRPr="008C5525" w:rsidRDefault="008C5525" w:rsidP="008C552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33.547,76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2BA996D9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50,34</w:t>
            </w:r>
          </w:p>
        </w:tc>
        <w:tc>
          <w:tcPr>
            <w:tcW w:w="718" w:type="dxa"/>
            <w:shd w:val="clear" w:color="000000" w:fill="FFFFFF"/>
            <w:vAlign w:val="center"/>
            <w:hideMark/>
          </w:tcPr>
          <w:p w14:paraId="240CD8B4" w14:textId="77777777" w:rsidR="008C5525" w:rsidRPr="008C5525" w:rsidRDefault="008C5525" w:rsidP="008C55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C55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64,48</w:t>
            </w:r>
          </w:p>
        </w:tc>
      </w:tr>
    </w:tbl>
    <w:p w14:paraId="04FF1CF6" w14:textId="77777777" w:rsidR="002C402A" w:rsidRDefault="002C402A">
      <w:pPr>
        <w:spacing w:line="259" w:lineRule="auto"/>
        <w:rPr>
          <w:rFonts w:eastAsiaTheme="majorEastAsia" w:cstheme="minorHAnsi"/>
          <w:b/>
        </w:rPr>
      </w:pPr>
      <w:r>
        <w:br w:type="page"/>
      </w:r>
    </w:p>
    <w:p w14:paraId="51B02CE5" w14:textId="0BB98F40" w:rsidR="000B3A72" w:rsidRPr="00CD5B87" w:rsidRDefault="002C402A" w:rsidP="00EC6EAF">
      <w:pPr>
        <w:pStyle w:val="Naslov3"/>
      </w:pPr>
      <w:bookmarkStart w:id="50" w:name="_Toc224047557"/>
      <w:r w:rsidRPr="00CD5B87">
        <w:lastRenderedPageBreak/>
        <w:t xml:space="preserve">PROGRAM 1003: </w:t>
      </w:r>
      <w:r w:rsidRPr="002C402A">
        <w:t>IZVANREDNO</w:t>
      </w:r>
      <w:r w:rsidRPr="00CD5B87">
        <w:t xml:space="preserve"> ODRŽAVANJE CESTA</w:t>
      </w:r>
      <w:bookmarkEnd w:id="50"/>
    </w:p>
    <w:p w14:paraId="6FE107B6" w14:textId="2419BD61" w:rsidR="0022376E" w:rsidRDefault="0022376E" w:rsidP="0022376E">
      <w:pPr>
        <w:spacing w:before="120" w:after="120"/>
        <w:jc w:val="both"/>
        <w:rPr>
          <w:rFonts w:cstheme="minorHAnsi"/>
        </w:rPr>
      </w:pPr>
      <w:r w:rsidRPr="00403D6F">
        <w:rPr>
          <w:rFonts w:cstheme="minorHAnsi"/>
        </w:rPr>
        <w:t xml:space="preserve">Za potrebe izvršenja aktivnosti sadržanih u programu izvanrednog održavanja cesta </w:t>
      </w:r>
      <w:r>
        <w:rPr>
          <w:rFonts w:cstheme="minorHAnsi"/>
        </w:rPr>
        <w:t xml:space="preserve">planirana su sredstva u iznosu od </w:t>
      </w:r>
      <w:r w:rsidR="000D2090">
        <w:rPr>
          <w:rFonts w:cstheme="minorHAnsi"/>
        </w:rPr>
        <w:t>5.872.126,19</w:t>
      </w:r>
      <w:r w:rsidRPr="00403D6F">
        <w:rPr>
          <w:rFonts w:cstheme="minorHAnsi"/>
        </w:rPr>
        <w:t xml:space="preserve"> </w:t>
      </w:r>
      <w:r>
        <w:rPr>
          <w:rFonts w:cstheme="minorHAnsi"/>
        </w:rPr>
        <w:t>eur</w:t>
      </w:r>
      <w:r w:rsidR="00033338">
        <w:rPr>
          <w:rFonts w:cstheme="minorHAnsi"/>
        </w:rPr>
        <w:t>a</w:t>
      </w:r>
      <w:r w:rsidRPr="00403D6F">
        <w:rPr>
          <w:rFonts w:cstheme="minorHAnsi"/>
        </w:rPr>
        <w:t>, a utrošena su u izno</w:t>
      </w:r>
      <w:r>
        <w:rPr>
          <w:rFonts w:cstheme="minorHAnsi"/>
        </w:rPr>
        <w:t xml:space="preserve">su od </w:t>
      </w:r>
      <w:r w:rsidR="000D2090">
        <w:rPr>
          <w:rFonts w:cstheme="minorHAnsi"/>
        </w:rPr>
        <w:t>3.930.231,23</w:t>
      </w:r>
      <w:r>
        <w:rPr>
          <w:rFonts w:cstheme="minorHAnsi"/>
        </w:rPr>
        <w:t xml:space="preserve"> eur</w:t>
      </w:r>
      <w:r w:rsidR="00033338">
        <w:rPr>
          <w:rFonts w:cstheme="minorHAnsi"/>
        </w:rPr>
        <w:t>a</w:t>
      </w:r>
      <w:r>
        <w:rPr>
          <w:rFonts w:cstheme="minorHAnsi"/>
        </w:rPr>
        <w:t xml:space="preserve"> ili</w:t>
      </w:r>
      <w:r w:rsidR="000D2090">
        <w:rPr>
          <w:rFonts w:cstheme="minorHAnsi"/>
        </w:rPr>
        <w:t xml:space="preserve"> 66,93</w:t>
      </w:r>
      <w:r w:rsidR="00857B9A">
        <w:rPr>
          <w:rFonts w:cstheme="minorHAnsi"/>
        </w:rPr>
        <w:t>% godišnjeg plana.</w:t>
      </w:r>
    </w:p>
    <w:p w14:paraId="26F1B838" w14:textId="77777777" w:rsidR="0022376E" w:rsidRDefault="0022376E" w:rsidP="0022376E">
      <w:pPr>
        <w:spacing w:before="120" w:after="120"/>
        <w:jc w:val="both"/>
        <w:rPr>
          <w:rFonts w:cstheme="minorHAnsi"/>
          <w:color w:val="000000"/>
        </w:rPr>
      </w:pPr>
      <w:r w:rsidRPr="00D05427">
        <w:rPr>
          <w:rFonts w:cstheme="minorHAnsi"/>
          <w:color w:val="000000"/>
        </w:rPr>
        <w:t>Zakonske podloge na kojima se program izvanrednog održavanja cesta zasniva su:</w:t>
      </w:r>
    </w:p>
    <w:p w14:paraId="2074755C" w14:textId="31D74E18" w:rsidR="0024344A" w:rsidRDefault="0022376E" w:rsidP="0052280A">
      <w:pPr>
        <w:pStyle w:val="Odlomakpopisa"/>
        <w:numPr>
          <w:ilvl w:val="0"/>
          <w:numId w:val="23"/>
        </w:numPr>
        <w:spacing w:after="0" w:line="240" w:lineRule="auto"/>
        <w:jc w:val="both"/>
      </w:pPr>
      <w:r w:rsidRPr="0024344A">
        <w:rPr>
          <w:rFonts w:cstheme="minorHAnsi"/>
          <w:color w:val="000000"/>
        </w:rPr>
        <w:t xml:space="preserve">Odluka o razvrstavanju javnih cesta </w:t>
      </w:r>
      <w:r w:rsidR="0024344A">
        <w:t xml:space="preserve">(„Narodne novine“ br. </w:t>
      </w:r>
      <w:r w:rsidR="000D2090">
        <w:t>109/25 i 118/25</w:t>
      </w:r>
      <w:r w:rsidR="008F7871">
        <w:t>),</w:t>
      </w:r>
    </w:p>
    <w:p w14:paraId="7C5DFC26" w14:textId="3ED94D0A" w:rsidR="00DB2559" w:rsidRPr="00DB2559" w:rsidRDefault="00DB2559" w:rsidP="0052280A">
      <w:pPr>
        <w:pStyle w:val="Odlomakpopisa"/>
        <w:numPr>
          <w:ilvl w:val="0"/>
          <w:numId w:val="23"/>
        </w:numPr>
        <w:ind w:left="170" w:hanging="170"/>
        <w:rPr>
          <w:rFonts w:cstheme="minorHAnsi"/>
          <w:color w:val="000000"/>
        </w:rPr>
      </w:pPr>
      <w:r w:rsidRPr="00DB2559">
        <w:rPr>
          <w:rFonts w:cstheme="minorHAnsi"/>
          <w:color w:val="000000"/>
        </w:rPr>
        <w:t>Zakon o cestama („Narodne novine“, broj 84/11, 18/13, 22/13, 54/13,</w:t>
      </w:r>
      <w:r>
        <w:rPr>
          <w:rFonts w:cstheme="minorHAnsi"/>
          <w:color w:val="000000"/>
        </w:rPr>
        <w:t xml:space="preserve"> 148/13, 92/14, 110/19,144/21 i </w:t>
      </w:r>
      <w:r w:rsidRPr="00DB2559">
        <w:rPr>
          <w:rFonts w:cstheme="minorHAnsi"/>
          <w:color w:val="000000"/>
        </w:rPr>
        <w:t>114/22, 04/23, 133/23, 156/25),</w:t>
      </w:r>
    </w:p>
    <w:p w14:paraId="12276E47" w14:textId="4F6603BA" w:rsidR="0022376E" w:rsidRPr="0024344A" w:rsidRDefault="0022376E" w:rsidP="0052280A">
      <w:pPr>
        <w:pStyle w:val="Odlomakpopisa"/>
        <w:numPr>
          <w:ilvl w:val="0"/>
          <w:numId w:val="23"/>
        </w:numPr>
        <w:spacing w:after="0" w:line="240" w:lineRule="auto"/>
        <w:jc w:val="both"/>
      </w:pPr>
      <w:r w:rsidRPr="0024344A">
        <w:rPr>
          <w:rFonts w:cstheme="minorHAnsi"/>
          <w:color w:val="000000"/>
        </w:rPr>
        <w:t>Pravilnik o održavanju cesta („Narodne novine“, broj 90/14, 3/21),</w:t>
      </w:r>
    </w:p>
    <w:p w14:paraId="66174A6C" w14:textId="7FE98792" w:rsidR="0024344A" w:rsidRPr="0024344A" w:rsidRDefault="0024344A" w:rsidP="0052280A">
      <w:pPr>
        <w:pStyle w:val="Odlomakpopisa"/>
        <w:numPr>
          <w:ilvl w:val="0"/>
          <w:numId w:val="23"/>
        </w:numPr>
        <w:spacing w:after="0" w:line="240" w:lineRule="auto"/>
        <w:ind w:left="170" w:hanging="170"/>
        <w:jc w:val="both"/>
      </w:pPr>
      <w:r>
        <w:t>Odluke o načinu određivanja prioriteta izvanrednog održavanja (Županijska uprava za ceste Primorsko-goranske županije, KLASA:340-03/15-01/5, URBROJ: 2170-04-11-15-01 od 27.02.2015. godine).</w:t>
      </w:r>
    </w:p>
    <w:p w14:paraId="41839467" w14:textId="3D02E87F" w:rsidR="0022376E" w:rsidRPr="0024344A" w:rsidRDefault="0022376E" w:rsidP="0024344A">
      <w:pPr>
        <w:spacing w:before="120" w:after="120"/>
        <w:jc w:val="both"/>
        <w:rPr>
          <w:rFonts w:cstheme="minorHAnsi"/>
          <w:szCs w:val="20"/>
        </w:rPr>
      </w:pPr>
      <w:r w:rsidRPr="00D05427">
        <w:rPr>
          <w:rFonts w:cs="Tahoma"/>
          <w:szCs w:val="18"/>
        </w:rPr>
        <w:t>Izvanredno održavanje spada u grupu zahtjevnijih i opsežnijih radova održavanja cesta, a temeljni im je cilj dugotrajnije uređenje i poboljšanje pojedinih dijelova ceste bez izmjene njenih tehničkih elemenata, osiguranja sigurnosti, stabilnosti i trajnos</w:t>
      </w:r>
      <w:r>
        <w:rPr>
          <w:rFonts w:cs="Tahoma"/>
          <w:szCs w:val="18"/>
        </w:rPr>
        <w:t xml:space="preserve">ti ceste i cestovnih objekata te </w:t>
      </w:r>
      <w:r w:rsidRPr="00D05427">
        <w:rPr>
          <w:rFonts w:cs="Tahoma"/>
          <w:szCs w:val="18"/>
        </w:rPr>
        <w:t xml:space="preserve">povećanja sigurnosti prometa. </w:t>
      </w:r>
      <w:r w:rsidRPr="00D05427">
        <w:rPr>
          <w:rFonts w:cstheme="minorHAnsi"/>
          <w:szCs w:val="18"/>
        </w:rPr>
        <w:t xml:space="preserve">Razine prednosti održavanja određene su ovisno o vrsti ceste i njezinim prometnim značajem za pojedino područje, te njihovih funkcija kao alternativnih pravaca cesta višega reda na području Županije, a uvažavajući stanje kolnika i minimalno potrebne sigurnosti odvijanja prometa. </w:t>
      </w:r>
      <w:r w:rsidRPr="00D05427">
        <w:rPr>
          <w:rFonts w:cs="Tahoma"/>
          <w:szCs w:val="18"/>
        </w:rPr>
        <w:t xml:space="preserve">Radovi izvanrednog održavanja izvode se povremeno, a njihov opseg vezan je za stupanj dotrajalosti ili oštećenja ceste. </w:t>
      </w:r>
      <w:r w:rsidRPr="00D05427">
        <w:rPr>
          <w:rFonts w:cstheme="minorHAnsi"/>
          <w:szCs w:val="20"/>
        </w:rPr>
        <w:t>Na dionicama koje su obuhvaćene planom izvanrednog održavanja</w:t>
      </w:r>
      <w:r>
        <w:rPr>
          <w:rFonts w:cstheme="minorHAnsi"/>
          <w:szCs w:val="20"/>
        </w:rPr>
        <w:t xml:space="preserve"> nakon izvođenja radova</w:t>
      </w:r>
      <w:r w:rsidRPr="00D05427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povećana je kvaliteta kolnika, riješena oborinska odvodnja te povećana</w:t>
      </w:r>
      <w:r w:rsidRPr="00D05427">
        <w:rPr>
          <w:rFonts w:cstheme="minorHAnsi"/>
          <w:szCs w:val="20"/>
        </w:rPr>
        <w:t xml:space="preserve"> razina sigurnosti prometa.</w:t>
      </w:r>
    </w:p>
    <w:p w14:paraId="17FEEDC7" w14:textId="339E1EBD" w:rsidR="000B3A72" w:rsidRPr="00CD5B87" w:rsidRDefault="000B3A72" w:rsidP="00B9666C">
      <w:pPr>
        <w:spacing w:after="120" w:line="240" w:lineRule="auto"/>
        <w:jc w:val="both"/>
        <w:rPr>
          <w:rFonts w:cstheme="minorHAnsi"/>
        </w:rPr>
      </w:pPr>
      <w:r w:rsidRPr="00CD5B87">
        <w:rPr>
          <w:rFonts w:cstheme="minorHAnsi"/>
        </w:rPr>
        <w:t>Poslovi izvanrednog održavanja razvrstani su u sljedeće aktivnosti:</w:t>
      </w:r>
    </w:p>
    <w:p w14:paraId="293F3472" w14:textId="4A0D9CD5" w:rsidR="000B3A72" w:rsidRPr="00CD7A7B" w:rsidRDefault="000B3A72" w:rsidP="00944B9D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D7A7B">
        <w:rPr>
          <w:rFonts w:cstheme="minorHAnsi"/>
        </w:rPr>
        <w:t>sanacija cesta</w:t>
      </w:r>
      <w:r w:rsidR="0075784F" w:rsidRPr="00CD7A7B">
        <w:rPr>
          <w:rFonts w:cstheme="minorHAnsi"/>
        </w:rPr>
        <w:t>, kolnika, zidova</w:t>
      </w:r>
      <w:r w:rsidRPr="00CD7A7B">
        <w:rPr>
          <w:rFonts w:cstheme="minorHAnsi"/>
        </w:rPr>
        <w:t>,</w:t>
      </w:r>
    </w:p>
    <w:p w14:paraId="78CBC71D" w14:textId="4D38FF70" w:rsidR="000B3A72" w:rsidRPr="00CD7A7B" w:rsidRDefault="00944B9D" w:rsidP="00944B9D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sanacija </w:t>
      </w:r>
      <w:r w:rsidR="000B3A72" w:rsidRPr="00CD7A7B">
        <w:rPr>
          <w:rFonts w:cstheme="minorHAnsi"/>
        </w:rPr>
        <w:t>mostova,</w:t>
      </w:r>
    </w:p>
    <w:p w14:paraId="3CA28B3D" w14:textId="78D665AF" w:rsidR="000B3A72" w:rsidRPr="00CD7A7B" w:rsidRDefault="0075784F" w:rsidP="00944B9D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D7A7B">
        <w:rPr>
          <w:rFonts w:cstheme="minorHAnsi"/>
        </w:rPr>
        <w:t>opreme cesta i postava prometne signalizacije,</w:t>
      </w:r>
    </w:p>
    <w:p w14:paraId="42C4659F" w14:textId="45CFA584" w:rsidR="000B3A72" w:rsidRPr="00CD7A7B" w:rsidRDefault="0075784F" w:rsidP="00944B9D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D7A7B">
        <w:rPr>
          <w:rFonts w:cstheme="minorHAnsi"/>
        </w:rPr>
        <w:t>interventne mjere i zahvati</w:t>
      </w:r>
      <w:r w:rsidR="000B3A72" w:rsidRPr="00CD7A7B">
        <w:rPr>
          <w:rFonts w:cstheme="minorHAnsi"/>
        </w:rPr>
        <w:t>,</w:t>
      </w:r>
    </w:p>
    <w:p w14:paraId="037B6307" w14:textId="328521AD" w:rsidR="000B3A72" w:rsidRPr="0075784F" w:rsidRDefault="000B3A72" w:rsidP="00944B9D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75784F">
        <w:rPr>
          <w:rFonts w:cstheme="minorHAnsi"/>
        </w:rPr>
        <w:t>projektiranje,</w:t>
      </w:r>
    </w:p>
    <w:p w14:paraId="2F92A3FD" w14:textId="625FB427" w:rsidR="000B3A72" w:rsidRPr="0075784F" w:rsidRDefault="00B9666C" w:rsidP="00944B9D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proširenje evidencije</w:t>
      </w:r>
      <w:r w:rsidR="000B3A72" w:rsidRPr="0075784F">
        <w:rPr>
          <w:rFonts w:cstheme="minorHAnsi"/>
        </w:rPr>
        <w:t xml:space="preserve"> baze cestovnih podataka,</w:t>
      </w:r>
    </w:p>
    <w:p w14:paraId="3D02E092" w14:textId="16A9C473" w:rsidR="000B3A72" w:rsidRDefault="000B3A72" w:rsidP="00944B9D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75784F">
        <w:rPr>
          <w:rFonts w:cstheme="minorHAnsi"/>
        </w:rPr>
        <w:t>geodetske usluge,</w:t>
      </w:r>
    </w:p>
    <w:p w14:paraId="46490D0E" w14:textId="1B0FCD4F" w:rsidR="000B3A72" w:rsidRDefault="000B3A72" w:rsidP="00944B9D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75784F">
        <w:rPr>
          <w:rFonts w:cstheme="minorHAnsi"/>
        </w:rPr>
        <w:t>ostale nespomenute usluge vezane uz održavanje cesta.</w:t>
      </w:r>
    </w:p>
    <w:p w14:paraId="1EF74E61" w14:textId="377E04A6" w:rsidR="009859CA" w:rsidRPr="009859CA" w:rsidRDefault="009859CA" w:rsidP="009859CA">
      <w:pPr>
        <w:spacing w:before="120" w:after="120" w:line="240" w:lineRule="auto"/>
        <w:jc w:val="both"/>
        <w:rPr>
          <w:rFonts w:cstheme="minorHAnsi"/>
        </w:rPr>
      </w:pPr>
      <w:r w:rsidRPr="009859CA">
        <w:rPr>
          <w:rFonts w:cstheme="minorHAnsi"/>
        </w:rPr>
        <w:t>Sredstva su utrošena za provedbu aktivnosti prikazanih u tablici koja slijedi:</w:t>
      </w:r>
    </w:p>
    <w:p w14:paraId="6B6FD2A4" w14:textId="042AD5B1" w:rsidR="009859CA" w:rsidRPr="009859CA" w:rsidRDefault="009859CA" w:rsidP="009859CA">
      <w:pPr>
        <w:pStyle w:val="Opisslike"/>
        <w:keepNext/>
        <w:spacing w:after="120"/>
        <w:rPr>
          <w:i w:val="0"/>
          <w:color w:val="222A35" w:themeColor="text2" w:themeShade="80"/>
          <w:sz w:val="22"/>
          <w:szCs w:val="22"/>
        </w:rPr>
      </w:pPr>
      <w:bookmarkStart w:id="51" w:name="_Toc224047011"/>
      <w:r w:rsidRPr="009859CA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9859CA">
        <w:rPr>
          <w:i w:val="0"/>
          <w:color w:val="222A35" w:themeColor="text2" w:themeShade="80"/>
          <w:sz w:val="22"/>
          <w:szCs w:val="22"/>
        </w:rPr>
        <w:fldChar w:fldCharType="begin"/>
      </w:r>
      <w:r w:rsidRPr="009859CA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9859CA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11</w:t>
      </w:r>
      <w:r w:rsidRPr="009859CA">
        <w:rPr>
          <w:i w:val="0"/>
          <w:color w:val="222A35" w:themeColor="text2" w:themeShade="80"/>
          <w:sz w:val="22"/>
          <w:szCs w:val="22"/>
        </w:rPr>
        <w:fldChar w:fldCharType="end"/>
      </w:r>
      <w:r w:rsidRPr="009859CA">
        <w:rPr>
          <w:i w:val="0"/>
          <w:color w:val="222A35" w:themeColor="text2" w:themeShade="80"/>
          <w:sz w:val="22"/>
          <w:szCs w:val="22"/>
        </w:rPr>
        <w:t xml:space="preserve">. </w:t>
      </w:r>
      <w:r>
        <w:rPr>
          <w:i w:val="0"/>
          <w:color w:val="222A35" w:themeColor="text2" w:themeShade="80"/>
          <w:sz w:val="22"/>
          <w:szCs w:val="22"/>
        </w:rPr>
        <w:t>Izvršenje Programa 1003: Izvanredno</w:t>
      </w:r>
      <w:r w:rsidRPr="009859CA">
        <w:rPr>
          <w:i w:val="0"/>
          <w:color w:val="222A35" w:themeColor="text2" w:themeShade="80"/>
          <w:sz w:val="22"/>
          <w:szCs w:val="22"/>
        </w:rPr>
        <w:t xml:space="preserve"> održavanje cesta u 2025. godini</w:t>
      </w:r>
      <w:bookmarkEnd w:id="51"/>
    </w:p>
    <w:tbl>
      <w:tblPr>
        <w:tblW w:w="9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1180"/>
        <w:gridCol w:w="1226"/>
        <w:gridCol w:w="1180"/>
        <w:gridCol w:w="854"/>
        <w:gridCol w:w="760"/>
      </w:tblGrid>
      <w:tr w:rsidR="009859CA" w:rsidRPr="009859CA" w14:paraId="0BCC092F" w14:textId="77777777" w:rsidTr="009859CA">
        <w:trPr>
          <w:trHeight w:val="480"/>
          <w:jc w:val="center"/>
        </w:trPr>
        <w:tc>
          <w:tcPr>
            <w:tcW w:w="4627" w:type="dxa"/>
            <w:shd w:val="clear" w:color="000000" w:fill="DDEBF7"/>
            <w:noWrap/>
            <w:vAlign w:val="center"/>
            <w:hideMark/>
          </w:tcPr>
          <w:p w14:paraId="5E3BB199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Brojčana oznaka i naziv </w:t>
            </w:r>
          </w:p>
        </w:tc>
        <w:tc>
          <w:tcPr>
            <w:tcW w:w="1180" w:type="dxa"/>
            <w:shd w:val="clear" w:color="000000" w:fill="DDEBF7"/>
            <w:vAlign w:val="center"/>
            <w:hideMark/>
          </w:tcPr>
          <w:p w14:paraId="33192DE6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1226" w:type="dxa"/>
            <w:shd w:val="clear" w:color="000000" w:fill="DDEBF7"/>
            <w:vAlign w:val="center"/>
            <w:hideMark/>
          </w:tcPr>
          <w:p w14:paraId="680298EF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</w:t>
            </w: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180" w:type="dxa"/>
            <w:shd w:val="clear" w:color="000000" w:fill="DDEBF7"/>
            <w:vAlign w:val="center"/>
            <w:hideMark/>
          </w:tcPr>
          <w:p w14:paraId="46B1F47F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854" w:type="dxa"/>
            <w:shd w:val="clear" w:color="000000" w:fill="DDEBF7"/>
            <w:vAlign w:val="center"/>
            <w:hideMark/>
          </w:tcPr>
          <w:p w14:paraId="33FD86A7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4./2. </w:t>
            </w:r>
          </w:p>
        </w:tc>
        <w:tc>
          <w:tcPr>
            <w:tcW w:w="760" w:type="dxa"/>
            <w:shd w:val="clear" w:color="000000" w:fill="DDEBF7"/>
            <w:vAlign w:val="center"/>
            <w:hideMark/>
          </w:tcPr>
          <w:p w14:paraId="20237855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4./3. </w:t>
            </w:r>
          </w:p>
        </w:tc>
      </w:tr>
      <w:tr w:rsidR="009859CA" w:rsidRPr="009859CA" w14:paraId="45B9B03A" w14:textId="77777777" w:rsidTr="009859CA">
        <w:trPr>
          <w:trHeight w:val="110"/>
          <w:jc w:val="center"/>
        </w:trPr>
        <w:tc>
          <w:tcPr>
            <w:tcW w:w="4627" w:type="dxa"/>
            <w:shd w:val="clear" w:color="000000" w:fill="DDEBF7"/>
            <w:noWrap/>
            <w:vAlign w:val="center"/>
            <w:hideMark/>
          </w:tcPr>
          <w:p w14:paraId="2D88FB4F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180" w:type="dxa"/>
            <w:shd w:val="clear" w:color="000000" w:fill="DDEBF7"/>
            <w:noWrap/>
            <w:vAlign w:val="center"/>
            <w:hideMark/>
          </w:tcPr>
          <w:p w14:paraId="7B1DD81E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226" w:type="dxa"/>
            <w:shd w:val="clear" w:color="000000" w:fill="DDEBF7"/>
            <w:noWrap/>
            <w:vAlign w:val="center"/>
            <w:hideMark/>
          </w:tcPr>
          <w:p w14:paraId="42F8EF9C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180" w:type="dxa"/>
            <w:shd w:val="clear" w:color="000000" w:fill="DDEBF7"/>
            <w:noWrap/>
            <w:vAlign w:val="center"/>
            <w:hideMark/>
          </w:tcPr>
          <w:p w14:paraId="630CFF1F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54" w:type="dxa"/>
            <w:shd w:val="clear" w:color="000000" w:fill="DDEBF7"/>
            <w:noWrap/>
            <w:vAlign w:val="center"/>
            <w:hideMark/>
          </w:tcPr>
          <w:p w14:paraId="04A44519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60" w:type="dxa"/>
            <w:shd w:val="clear" w:color="000000" w:fill="DDEBF7"/>
            <w:noWrap/>
            <w:vAlign w:val="center"/>
            <w:hideMark/>
          </w:tcPr>
          <w:p w14:paraId="2CFB74B9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9859CA" w:rsidRPr="009859CA" w14:paraId="325AFBFF" w14:textId="77777777" w:rsidTr="009859CA">
        <w:trPr>
          <w:trHeight w:val="283"/>
          <w:jc w:val="center"/>
        </w:trPr>
        <w:tc>
          <w:tcPr>
            <w:tcW w:w="4627" w:type="dxa"/>
            <w:shd w:val="clear" w:color="000000" w:fill="BDD7EE"/>
            <w:vAlign w:val="center"/>
            <w:hideMark/>
          </w:tcPr>
          <w:p w14:paraId="7FAA84CC" w14:textId="77777777" w:rsidR="009859CA" w:rsidRPr="009859CA" w:rsidRDefault="009859CA" w:rsidP="009859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Program: 1003 IZVANREDNO ODRŽAVANJE</w:t>
            </w:r>
          </w:p>
        </w:tc>
        <w:tc>
          <w:tcPr>
            <w:tcW w:w="1180" w:type="dxa"/>
            <w:shd w:val="clear" w:color="000000" w:fill="BDD7EE"/>
            <w:vAlign w:val="center"/>
            <w:hideMark/>
          </w:tcPr>
          <w:p w14:paraId="4BB57D3F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5.345.134,59</w:t>
            </w:r>
          </w:p>
        </w:tc>
        <w:tc>
          <w:tcPr>
            <w:tcW w:w="1226" w:type="dxa"/>
            <w:shd w:val="clear" w:color="000000" w:fill="BDD7EE"/>
            <w:vAlign w:val="center"/>
            <w:hideMark/>
          </w:tcPr>
          <w:p w14:paraId="0C92AC89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5.872.126,19</w:t>
            </w:r>
          </w:p>
        </w:tc>
        <w:tc>
          <w:tcPr>
            <w:tcW w:w="1180" w:type="dxa"/>
            <w:shd w:val="clear" w:color="000000" w:fill="BDD7EE"/>
            <w:vAlign w:val="center"/>
            <w:hideMark/>
          </w:tcPr>
          <w:p w14:paraId="71F1C4A8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3.930.231,23</w:t>
            </w:r>
          </w:p>
        </w:tc>
        <w:tc>
          <w:tcPr>
            <w:tcW w:w="854" w:type="dxa"/>
            <w:shd w:val="clear" w:color="000000" w:fill="BDD7EE"/>
            <w:vAlign w:val="center"/>
            <w:hideMark/>
          </w:tcPr>
          <w:p w14:paraId="63124668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73,53</w:t>
            </w:r>
          </w:p>
        </w:tc>
        <w:tc>
          <w:tcPr>
            <w:tcW w:w="760" w:type="dxa"/>
            <w:shd w:val="clear" w:color="000000" w:fill="BDD7EE"/>
            <w:vAlign w:val="center"/>
            <w:hideMark/>
          </w:tcPr>
          <w:p w14:paraId="4F23FAD7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66,93</w:t>
            </w:r>
          </w:p>
        </w:tc>
      </w:tr>
      <w:tr w:rsidR="009859CA" w:rsidRPr="009859CA" w14:paraId="61646292" w14:textId="77777777" w:rsidTr="009859CA">
        <w:trPr>
          <w:trHeight w:val="283"/>
          <w:jc w:val="center"/>
        </w:trPr>
        <w:tc>
          <w:tcPr>
            <w:tcW w:w="4627" w:type="dxa"/>
            <w:shd w:val="clear" w:color="000000" w:fill="FFFFFF"/>
            <w:vAlign w:val="center"/>
            <w:hideMark/>
          </w:tcPr>
          <w:p w14:paraId="67824312" w14:textId="77777777" w:rsidR="009859CA" w:rsidRPr="009859CA" w:rsidRDefault="009859CA" w:rsidP="00985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100301 SANACIJE CESTA/KOLNIKA/ZIDOVA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0B53F6CA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4.522.790,69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2F2F506B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4.187.215,07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52CD2B7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3.056.872,02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14:paraId="639C9902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67,59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09A6DC76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73,00</w:t>
            </w:r>
          </w:p>
        </w:tc>
      </w:tr>
      <w:tr w:rsidR="009859CA" w:rsidRPr="009859CA" w14:paraId="39E023DD" w14:textId="77777777" w:rsidTr="009859CA">
        <w:trPr>
          <w:trHeight w:val="283"/>
          <w:jc w:val="center"/>
        </w:trPr>
        <w:tc>
          <w:tcPr>
            <w:tcW w:w="4627" w:type="dxa"/>
            <w:shd w:val="clear" w:color="000000" w:fill="FFFFFF"/>
            <w:vAlign w:val="center"/>
            <w:hideMark/>
          </w:tcPr>
          <w:p w14:paraId="632674B9" w14:textId="77777777" w:rsidR="009859CA" w:rsidRPr="009859CA" w:rsidRDefault="009859CA" w:rsidP="00985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100302 MOSTOVI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5558B672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19.507,50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475C1A11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576.704,24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360D22C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324.792,89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14:paraId="246BAD37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1.664,96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51E0D88B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56,32</w:t>
            </w:r>
          </w:p>
        </w:tc>
      </w:tr>
      <w:tr w:rsidR="009859CA" w:rsidRPr="009859CA" w14:paraId="09229200" w14:textId="77777777" w:rsidTr="009859CA">
        <w:trPr>
          <w:trHeight w:val="283"/>
          <w:jc w:val="center"/>
        </w:trPr>
        <w:tc>
          <w:tcPr>
            <w:tcW w:w="4627" w:type="dxa"/>
            <w:shd w:val="clear" w:color="000000" w:fill="FFFFFF"/>
            <w:vAlign w:val="center"/>
            <w:hideMark/>
          </w:tcPr>
          <w:p w14:paraId="66CCA72E" w14:textId="77777777" w:rsidR="009859CA" w:rsidRPr="009859CA" w:rsidRDefault="009859CA" w:rsidP="00985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100303 OPREMA CESTE I POSTAVA PROMETNE SIGNALIZACIJE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54367E01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198.456,78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498CD497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414.676,54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AC471BC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157.494,29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14:paraId="1D4BFAB6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79,36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06DDE18D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37,98</w:t>
            </w:r>
          </w:p>
        </w:tc>
      </w:tr>
      <w:tr w:rsidR="009859CA" w:rsidRPr="009859CA" w14:paraId="7580D185" w14:textId="77777777" w:rsidTr="009859CA">
        <w:trPr>
          <w:trHeight w:val="283"/>
          <w:jc w:val="center"/>
        </w:trPr>
        <w:tc>
          <w:tcPr>
            <w:tcW w:w="4627" w:type="dxa"/>
            <w:shd w:val="clear" w:color="000000" w:fill="FFFFFF"/>
            <w:vAlign w:val="center"/>
            <w:hideMark/>
          </w:tcPr>
          <w:p w14:paraId="0E47D12F" w14:textId="77777777" w:rsidR="009859CA" w:rsidRPr="009859CA" w:rsidRDefault="009859CA" w:rsidP="00985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100304 INTERVENTNE MJERE I ZAHVATI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430C0FA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218.426,59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0D682CE9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344.442,84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08FA44F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212.909,53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14:paraId="519F5758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97,47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68E6B37E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61,81</w:t>
            </w:r>
          </w:p>
        </w:tc>
      </w:tr>
      <w:tr w:rsidR="009859CA" w:rsidRPr="009859CA" w14:paraId="4EA445E3" w14:textId="77777777" w:rsidTr="009859CA">
        <w:trPr>
          <w:trHeight w:val="283"/>
          <w:jc w:val="center"/>
        </w:trPr>
        <w:tc>
          <w:tcPr>
            <w:tcW w:w="4627" w:type="dxa"/>
            <w:shd w:val="clear" w:color="000000" w:fill="FFFFFF"/>
            <w:vAlign w:val="center"/>
            <w:hideMark/>
          </w:tcPr>
          <w:p w14:paraId="69F2D8F8" w14:textId="77777777" w:rsidR="009859CA" w:rsidRPr="009859CA" w:rsidRDefault="009859CA" w:rsidP="00985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100305 PROJEKTIRANJE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47A9376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146.625,00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0D77E8E4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188.375,00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C2E3032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14:paraId="22FBBEF0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64,79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2ED8CFAF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50,43</w:t>
            </w:r>
          </w:p>
        </w:tc>
      </w:tr>
      <w:tr w:rsidR="009859CA" w:rsidRPr="009859CA" w14:paraId="24033FD8" w14:textId="77777777" w:rsidTr="009859CA">
        <w:trPr>
          <w:trHeight w:val="283"/>
          <w:jc w:val="center"/>
        </w:trPr>
        <w:tc>
          <w:tcPr>
            <w:tcW w:w="4627" w:type="dxa"/>
            <w:shd w:val="clear" w:color="000000" w:fill="FFFFFF"/>
            <w:vAlign w:val="center"/>
            <w:hideMark/>
          </w:tcPr>
          <w:p w14:paraId="0F1A0317" w14:textId="77777777" w:rsidR="009859CA" w:rsidRPr="009859CA" w:rsidRDefault="009859CA" w:rsidP="00985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100306 PROŠIRENJE EVIDENCIJE BAZE CESTOVNIH PODATAKA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73F532DD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42.300,00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20AD3A41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56.937,50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0A08DBB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36.937,50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14:paraId="1A6A08AA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87,32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70DB3167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64,87</w:t>
            </w:r>
          </w:p>
        </w:tc>
      </w:tr>
      <w:tr w:rsidR="006950E4" w:rsidRPr="009859CA" w14:paraId="2634C374" w14:textId="77777777" w:rsidTr="006950E4">
        <w:trPr>
          <w:trHeight w:val="283"/>
          <w:jc w:val="center"/>
        </w:trPr>
        <w:tc>
          <w:tcPr>
            <w:tcW w:w="4627" w:type="dxa"/>
            <w:shd w:val="clear" w:color="000000" w:fill="FFFFFF"/>
            <w:vAlign w:val="center"/>
            <w:hideMark/>
          </w:tcPr>
          <w:p w14:paraId="2BB50C06" w14:textId="77777777" w:rsidR="006950E4" w:rsidRPr="009859CA" w:rsidRDefault="006950E4" w:rsidP="0069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100307 GEODETSKI ELABORATI IZVEDENOG STANJA CESTA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5B9B11C1" w14:textId="77777777" w:rsidR="006950E4" w:rsidRPr="009859CA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13.645,55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6704EF34" w14:textId="77777777" w:rsidR="006950E4" w:rsidRPr="009859CA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435992C7" w14:textId="77777777" w:rsidR="006950E4" w:rsidRPr="009859CA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14:paraId="5E60C3EB" w14:textId="1B05E27F" w:rsidR="006950E4" w:rsidRPr="009859CA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76A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4148F03A" w14:textId="591C5740" w:rsidR="006950E4" w:rsidRPr="009859CA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76AE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859CA" w:rsidRPr="009859CA" w14:paraId="746C6AC0" w14:textId="77777777" w:rsidTr="009859CA">
        <w:trPr>
          <w:trHeight w:val="283"/>
          <w:jc w:val="center"/>
        </w:trPr>
        <w:tc>
          <w:tcPr>
            <w:tcW w:w="4627" w:type="dxa"/>
            <w:shd w:val="clear" w:color="000000" w:fill="FFFFFF"/>
            <w:vAlign w:val="center"/>
            <w:hideMark/>
          </w:tcPr>
          <w:p w14:paraId="513AFF93" w14:textId="77777777" w:rsidR="009859CA" w:rsidRPr="009859CA" w:rsidRDefault="009859CA" w:rsidP="009859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100308 GEODETSKE USLUGE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5F6B7A59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153.431,25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3941A144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93.775,00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5D48DFD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46.225,00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14:paraId="6657E60B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30,13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55212A9B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49,29</w:t>
            </w:r>
          </w:p>
        </w:tc>
      </w:tr>
      <w:tr w:rsidR="006950E4" w:rsidRPr="009859CA" w14:paraId="6F46D4A6" w14:textId="77777777" w:rsidTr="006950E4">
        <w:trPr>
          <w:trHeight w:val="283"/>
          <w:jc w:val="center"/>
        </w:trPr>
        <w:tc>
          <w:tcPr>
            <w:tcW w:w="4627" w:type="dxa"/>
            <w:shd w:val="clear" w:color="000000" w:fill="FFFFFF"/>
            <w:vAlign w:val="center"/>
            <w:hideMark/>
          </w:tcPr>
          <w:p w14:paraId="7E483DE9" w14:textId="77777777" w:rsidR="006950E4" w:rsidRPr="009859CA" w:rsidRDefault="006950E4" w:rsidP="0069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100310 STRATEŠKA KARTA BUKE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47BFEB8" w14:textId="77777777" w:rsidR="006950E4" w:rsidRPr="009859CA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14.312,50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13E7A20D" w14:textId="77777777" w:rsidR="006950E4" w:rsidRPr="009859CA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384091F5" w14:textId="77777777" w:rsidR="006950E4" w:rsidRPr="009859CA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14:paraId="202C378D" w14:textId="4BF42F8E" w:rsidR="006950E4" w:rsidRPr="009859CA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15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5B5BE401" w14:textId="001653A6" w:rsidR="006950E4" w:rsidRPr="009859CA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15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950E4" w:rsidRPr="009859CA" w14:paraId="0D324F9E" w14:textId="77777777" w:rsidTr="006950E4">
        <w:trPr>
          <w:trHeight w:val="283"/>
          <w:jc w:val="center"/>
        </w:trPr>
        <w:tc>
          <w:tcPr>
            <w:tcW w:w="4627" w:type="dxa"/>
            <w:shd w:val="clear" w:color="000000" w:fill="FFFFFF"/>
            <w:vAlign w:val="center"/>
            <w:hideMark/>
          </w:tcPr>
          <w:p w14:paraId="0B58DFCA" w14:textId="77777777" w:rsidR="006950E4" w:rsidRPr="009859CA" w:rsidRDefault="006950E4" w:rsidP="00695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 100311 OSTALE NESPOMENUTE USLUGE VEZANE UZ ODRŽAVANJE CESTA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6B8E090B" w14:textId="77777777" w:rsidR="006950E4" w:rsidRPr="009859CA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15.638,73</w:t>
            </w:r>
          </w:p>
        </w:tc>
        <w:tc>
          <w:tcPr>
            <w:tcW w:w="1226" w:type="dxa"/>
            <w:shd w:val="clear" w:color="000000" w:fill="FFFFFF"/>
            <w:vAlign w:val="center"/>
            <w:hideMark/>
          </w:tcPr>
          <w:p w14:paraId="42FDE1D5" w14:textId="77777777" w:rsidR="006950E4" w:rsidRPr="009859CA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80" w:type="dxa"/>
            <w:shd w:val="clear" w:color="000000" w:fill="FFFFFF"/>
            <w:vAlign w:val="center"/>
            <w:hideMark/>
          </w:tcPr>
          <w:p w14:paraId="20CD8584" w14:textId="77777777" w:rsidR="006950E4" w:rsidRPr="009859CA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4" w:type="dxa"/>
            <w:shd w:val="clear" w:color="000000" w:fill="FFFFFF"/>
            <w:vAlign w:val="center"/>
            <w:hideMark/>
          </w:tcPr>
          <w:p w14:paraId="0787EA54" w14:textId="042AF060" w:rsidR="006950E4" w:rsidRPr="009859CA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15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04355609" w14:textId="0754469B" w:rsidR="006950E4" w:rsidRPr="009859CA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15E0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5E67905C" w14:textId="03A45716" w:rsidR="002C402A" w:rsidRDefault="008F7871" w:rsidP="00BB4537">
      <w:pPr>
        <w:spacing w:before="120" w:after="120"/>
        <w:jc w:val="both"/>
        <w:rPr>
          <w:rFonts w:eastAsia="Calibri" w:cs="Calibri"/>
        </w:rPr>
      </w:pPr>
      <w:bookmarkStart w:id="52" w:name="_Toc109651263"/>
      <w:r>
        <w:rPr>
          <w:rFonts w:eastAsia="Calibri" w:cs="Calibri"/>
        </w:rPr>
        <w:lastRenderedPageBreak/>
        <w:t xml:space="preserve">U nastavku se daje tabelarni </w:t>
      </w:r>
      <w:r w:rsidR="0024344A" w:rsidRPr="00BB4537">
        <w:rPr>
          <w:rFonts w:eastAsia="Calibri" w:cs="Calibri"/>
        </w:rPr>
        <w:t>prikaz planiranih i izvršenih radova izvanrednog održavanja cesta razvrstanih po projektima.</w:t>
      </w:r>
    </w:p>
    <w:p w14:paraId="06AA89E6" w14:textId="5F84CB28" w:rsidR="000632DD" w:rsidRDefault="000632DD" w:rsidP="00F8051A">
      <w:pPr>
        <w:pStyle w:val="Opisslike"/>
        <w:keepNext/>
        <w:spacing w:after="120"/>
        <w:rPr>
          <w:i w:val="0"/>
          <w:color w:val="222A35" w:themeColor="text2" w:themeShade="80"/>
          <w:sz w:val="22"/>
          <w:szCs w:val="22"/>
        </w:rPr>
      </w:pPr>
      <w:bookmarkStart w:id="53" w:name="_Toc224047012"/>
      <w:r w:rsidRPr="00F8051A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begin"/>
      </w:r>
      <w:r w:rsidRPr="00F8051A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F8051A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12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end"/>
      </w:r>
      <w:r w:rsidRPr="00F8051A">
        <w:rPr>
          <w:i w:val="0"/>
          <w:color w:val="222A35" w:themeColor="text2" w:themeShade="80"/>
          <w:sz w:val="22"/>
          <w:szCs w:val="22"/>
        </w:rPr>
        <w:t>. A 100301 Sanacija županijskih i lokalnih cesta</w:t>
      </w:r>
      <w:bookmarkEnd w:id="52"/>
      <w:bookmarkEnd w:id="53"/>
    </w:p>
    <w:tbl>
      <w:tblPr>
        <w:tblW w:w="9695" w:type="dxa"/>
        <w:jc w:val="center"/>
        <w:tblLook w:val="04A0" w:firstRow="1" w:lastRow="0" w:firstColumn="1" w:lastColumn="0" w:noHBand="0" w:noVBand="1"/>
      </w:tblPr>
      <w:tblGrid>
        <w:gridCol w:w="846"/>
        <w:gridCol w:w="1058"/>
        <w:gridCol w:w="3908"/>
        <w:gridCol w:w="761"/>
        <w:gridCol w:w="1224"/>
        <w:gridCol w:w="1180"/>
        <w:gridCol w:w="718"/>
      </w:tblGrid>
      <w:tr w:rsidR="009859CA" w:rsidRPr="009859CA" w14:paraId="2194319D" w14:textId="77777777" w:rsidTr="00C50270">
        <w:trPr>
          <w:trHeight w:val="283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201CEA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Broj </w:t>
            </w: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ceste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020670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Dionica/</w:t>
            </w: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lokacija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BDD0D3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011C33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Duljina </w:t>
            </w: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dionice </w:t>
            </w: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km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A3996F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42070D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153B64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9859CA" w:rsidRPr="009859CA" w14:paraId="1781A362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0160C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AA52D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Žejane-Perka</w:t>
            </w:r>
            <w:proofErr w:type="spellEnd"/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F6884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</w:t>
            </w: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bermi</w:t>
            </w:r>
            <w:proofErr w:type="spellEnd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bankina te osiguranje preglednosti (3. dionica)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9807F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5B61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87.316,72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90E0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87.174,55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3A5F0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99,84</w:t>
            </w:r>
          </w:p>
        </w:tc>
      </w:tr>
      <w:tr w:rsidR="009859CA" w:rsidRPr="009859CA" w14:paraId="135F8F85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5AD1B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EE217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Marinići-Viškovo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45ACF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završnog sloja asfalta (2. dio)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C717E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D4C0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86.000,00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ABC2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9FB6F" w14:textId="55759FD2" w:rsidR="009859CA" w:rsidRPr="009859CA" w:rsidRDefault="003F1AE4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859CA" w:rsidRPr="009859CA" w14:paraId="4F539E70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8BA6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ŽC5028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75132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Podhum-D3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2C89A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završnog sloja asfalta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82D4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5D269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85.747,45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5E65A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85.747,45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2ED3B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859CA" w:rsidRPr="009859CA" w14:paraId="12BB549D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21CC2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11CC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Čabar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59859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sustava oborinske odvodnje u naselju </w:t>
            </w: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Plešce</w:t>
            </w:r>
            <w:proofErr w:type="spellEnd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u Ul. Antuna </w:t>
            </w: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Muhvića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74FB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0,240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BB8B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D8ECD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79.202,49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1702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99,00</w:t>
            </w:r>
          </w:p>
        </w:tc>
      </w:tr>
      <w:tr w:rsidR="006950E4" w:rsidRPr="009859CA" w14:paraId="6BF801EB" w14:textId="77777777" w:rsidTr="006950E4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9B6F2" w14:textId="77777777" w:rsidR="006950E4" w:rsidRPr="009859CA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2654" w14:textId="77777777" w:rsidR="006950E4" w:rsidRPr="009859CA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Zamost</w:t>
            </w:r>
            <w:proofErr w:type="spellEnd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-Hrvatsko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711C7" w14:textId="77777777" w:rsidR="006950E4" w:rsidRPr="009859CA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kolnika (2. dionica)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A7AD" w14:textId="77777777" w:rsidR="006950E4" w:rsidRPr="009859CA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A9462" w14:textId="77777777" w:rsidR="006950E4" w:rsidRPr="009859CA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B22BB" w14:textId="77777777" w:rsidR="006950E4" w:rsidRPr="009859CA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04370" w14:textId="17EA979E" w:rsidR="006950E4" w:rsidRPr="009859CA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950E4" w:rsidRPr="009859CA" w14:paraId="4745AF75" w14:textId="77777777" w:rsidTr="006950E4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E733B" w14:textId="77777777" w:rsidR="006950E4" w:rsidRPr="009859CA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776C6" w14:textId="77777777" w:rsidR="006950E4" w:rsidRPr="009859CA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Matulji-Belići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469B1" w14:textId="77777777" w:rsidR="006950E4" w:rsidRPr="009859CA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kolnika </w:t>
            </w: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mikroasfaltom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6405" w14:textId="77777777" w:rsidR="006950E4" w:rsidRPr="009859CA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0,900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500EB" w14:textId="77777777" w:rsidR="006950E4" w:rsidRPr="009859CA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0D677" w14:textId="77777777" w:rsidR="006950E4" w:rsidRPr="009859CA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7BB0" w14:textId="036CE2B8" w:rsidR="006950E4" w:rsidRPr="009859CA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F70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859CA" w:rsidRPr="009859CA" w14:paraId="7C9F359A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EEE6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CDC3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Kraljevica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F945F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kolnika i oborinske odvodnje od priključka Janaf do bunkera prije naselja </w:t>
            </w: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Križišće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D4F5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2,700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89AE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599.489,83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FA76A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599.489,83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640C2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859CA" w:rsidRPr="009859CA" w14:paraId="08C3D0A2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6111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ŽC5069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07010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Mrkopalj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FA13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kolnika i oborinske odvodnje u ulici Poljice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505E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4F917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338.000,00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4EA7B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332.386,48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45BA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98,34</w:t>
            </w:r>
          </w:p>
        </w:tc>
      </w:tr>
      <w:tr w:rsidR="009859CA" w:rsidRPr="009859CA" w14:paraId="1F9529AE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8515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9533E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Malinska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387B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dijela kolnika u Ulici Branka Fučića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A10D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92571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82.665,19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6951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82.665,19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B3FA3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859CA" w:rsidRPr="009859CA" w14:paraId="7D638A3D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CD68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D66A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Malinska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6CDC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dijela ceste - poslovna zona Sveti Vid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1148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DD6F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DC2D8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43.707,63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91F0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26,98</w:t>
            </w:r>
          </w:p>
        </w:tc>
      </w:tr>
      <w:tr w:rsidR="009859CA" w:rsidRPr="009859CA" w14:paraId="2C0902AD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B2F22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17A0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Vrbnik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31ABC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dijela ceste (3. dionica)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6E53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61953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87AE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124.342,41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E1E0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49,74</w:t>
            </w:r>
          </w:p>
        </w:tc>
      </w:tr>
      <w:tr w:rsidR="009859CA" w:rsidRPr="009859CA" w14:paraId="56B0758A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7871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7FD5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Čabar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20717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klizišta između naselja </w:t>
            </w: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Smrekari</w:t>
            </w:r>
            <w:proofErr w:type="spellEnd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Mali Lug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C8D0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0,020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283AA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0220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58B8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0,63</w:t>
            </w:r>
          </w:p>
        </w:tc>
      </w:tr>
      <w:tr w:rsidR="009859CA" w:rsidRPr="009859CA" w14:paraId="636AB6FE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A2226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ŽC5221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CDEAE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Mali Lošinj-</w:t>
            </w: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Mrtvaška</w:t>
            </w:r>
            <w:proofErr w:type="spellEnd"/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768A3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</w:t>
            </w: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bermi</w:t>
            </w:r>
            <w:proofErr w:type="spellEnd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bankina, te osiguranje preglednosti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63499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0,900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C7CF8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2F016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82.928,21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6C76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97,56</w:t>
            </w:r>
          </w:p>
        </w:tc>
      </w:tr>
      <w:tr w:rsidR="009859CA" w:rsidRPr="009859CA" w14:paraId="5BF45725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B1D18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7EDFF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Marinići-Viškovo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22607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završnog sloja asfalta (1. dio)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9C4F0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28B1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85.988,75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F1BC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46E33" w14:textId="2DCDC915" w:rsidR="009859CA" w:rsidRPr="009859CA" w:rsidRDefault="00BC6B2C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859CA" w:rsidRPr="009859CA" w14:paraId="3E1F2E64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FFE42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FF52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Vrbovsko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C25B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oborinske odvodnje u Ulici Dobra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0787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CA85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85.822,85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0930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85.822,85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4B1B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859CA" w:rsidRPr="009859CA" w14:paraId="7D6F9289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752A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2A6FF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Homer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D5D35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korekcije sustava oborinske odvodnje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D6231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CC486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73.046,53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C1089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73.046,53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3908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859CA" w:rsidRPr="009859CA" w14:paraId="249640EA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59F89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ŽC5068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617B9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Kraljevica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8DC97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kolnika i oborinske odvodnje od priključka Janaf do bunkera prije naselja </w:t>
            </w: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Križišće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522A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2,700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EFC6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54.435,73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4297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54.435,73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7584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859CA" w:rsidRPr="009859CA" w14:paraId="1A87778F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5236E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ŽC5125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D054E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Punat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17314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oborinske odvodnje na ulazu u marinu Punat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895EB" w14:textId="78576213" w:rsidR="009859CA" w:rsidRPr="009859CA" w:rsidRDefault="00107904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0F11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34.918,34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AEFF2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34.918,34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D88C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859CA" w:rsidRPr="009859CA" w14:paraId="57B52A5A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76CC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465C0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Rab 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30F7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kolnika i nogostupa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791A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C093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87.500,00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D90FB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1.125,00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FD541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1,29</w:t>
            </w:r>
          </w:p>
        </w:tc>
      </w:tr>
      <w:tr w:rsidR="009859CA" w:rsidRPr="009859CA" w14:paraId="4FD4D18B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B5C1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79F01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Palit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C6CD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Obnova potpornog zida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6D5A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0,031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E0F75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77.240,91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3B56C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77.240,91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D9BB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859CA" w:rsidRPr="009859CA" w14:paraId="4495E43D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7B004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ŽC5183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86039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Vrbnik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02B39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dijela ceste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6EC3E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EBC1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221.368,43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0DCC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221.368,43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3E46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859CA" w:rsidRPr="009859CA" w14:paraId="24B9A005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C5B6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ŽC5185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AB0E1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Smrekari</w:t>
            </w:r>
            <w:proofErr w:type="spellEnd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-Čabar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98CF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aktiviranog klizišta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F459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4C82F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198.023,56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8259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198.023,56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70EB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859CA" w:rsidRPr="009859CA" w14:paraId="4FE7AD1A" w14:textId="77777777" w:rsidTr="00C50270">
        <w:trPr>
          <w:trHeight w:val="283"/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3C9F96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SANACIJE ŽUPANIJSKIH CESTA UKUPNO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C2E0B6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10,461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3367D5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3.204.564,29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22323B5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2.264.875,59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1D9B9E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70,68</w:t>
            </w:r>
          </w:p>
        </w:tc>
      </w:tr>
      <w:tr w:rsidR="009859CA" w:rsidRPr="009859CA" w14:paraId="6A9829C7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89AD6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LC58010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B5CB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Mune - </w:t>
            </w: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Starod</w:t>
            </w:r>
            <w:proofErr w:type="spellEnd"/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31379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ceste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E3EC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9BD7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96F68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86.577,79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3BCA0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98,38</w:t>
            </w:r>
          </w:p>
        </w:tc>
      </w:tr>
      <w:tr w:rsidR="009859CA" w:rsidRPr="009859CA" w14:paraId="56B8B5A6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A775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LC58014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0307B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Studena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DDFC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ceste i oborinske odvodnje s izradom </w:t>
            </w: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upojnog</w:t>
            </w:r>
            <w:proofErr w:type="spellEnd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bunara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0FDC3" w14:textId="4EB8FFF4" w:rsidR="009859CA" w:rsidRPr="009859CA" w:rsidRDefault="00107904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40D4A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957F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82.270,76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D2CD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96,79</w:t>
            </w:r>
          </w:p>
        </w:tc>
      </w:tr>
      <w:tr w:rsidR="009859CA" w:rsidRPr="009859CA" w14:paraId="2E28864E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D7D79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LC58019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33392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Zoretići</w:t>
            </w:r>
            <w:proofErr w:type="spellEnd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- </w:t>
            </w: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Kukuljani</w:t>
            </w:r>
            <w:proofErr w:type="spellEnd"/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2CC0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kolnika i oborinske odvodnje (5. dionica)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8AE2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BE5F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150.194,68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F3D0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150.194,68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C6055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859CA" w:rsidRPr="009859CA" w14:paraId="2C717AE8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27B0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8479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Kostrena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E142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kolnika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8FDE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83143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182.000,00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68353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8D287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859CA" w:rsidRPr="009859CA" w14:paraId="46BF85DE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E57C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LC58064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794C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Sv. Jelena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E3BBD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kolnika, </w:t>
            </w: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bermi</w:t>
            </w:r>
            <w:proofErr w:type="spellEnd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te osiguranje preglednosti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A76A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15A9B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88.400,00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E8FE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85.919,06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01557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97,19</w:t>
            </w:r>
          </w:p>
        </w:tc>
      </w:tr>
      <w:tr w:rsidR="009859CA" w:rsidRPr="009859CA" w14:paraId="1E299A6D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78A1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LC58067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904F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Rasopasno</w:t>
            </w:r>
            <w:proofErr w:type="spellEnd"/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D5AF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dijela ceste i oborinske odvodnje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49C7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0,130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4D44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60.893,16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1167F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60.893,16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8FC72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859CA" w:rsidRPr="009859CA" w14:paraId="00BE3934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0890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424C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Mošćenice-Sv. Jelena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2A1D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kolnika, </w:t>
            </w: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bermi</w:t>
            </w:r>
            <w:proofErr w:type="spellEnd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te osiguranje preglednosti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5F78" w14:textId="3B6B0390" w:rsidR="009859CA" w:rsidRPr="009859CA" w:rsidRDefault="00107904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5CA1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84.819,38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64C0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84.819,38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18E8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859CA" w:rsidRPr="009859CA" w14:paraId="5D6EB622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26DB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646C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Beli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3F71" w14:textId="4C7FCFAC" w:rsidR="009859CA" w:rsidRPr="009859CA" w:rsidRDefault="00787AC9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</w:t>
            </w:r>
            <w:r w:rsidR="009859CA"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dijela ceste na dionici D100-Beli (2. dionica)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96BA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A1009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FCC6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197.978,04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35C5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98,99</w:t>
            </w:r>
          </w:p>
        </w:tc>
      </w:tr>
      <w:tr w:rsidR="009859CA" w:rsidRPr="009859CA" w14:paraId="2B970F47" w14:textId="77777777" w:rsidTr="00C50270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2205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1AB1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Vrh (Krk)</w:t>
            </w:r>
          </w:p>
        </w:tc>
        <w:tc>
          <w:tcPr>
            <w:tcW w:w="3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E253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kolnika </w:t>
            </w:r>
            <w:proofErr w:type="spellStart"/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mikroasfaltom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64E3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E5765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43.343,56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B8C25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43.343,56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C21BD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859CA" w:rsidRPr="009859CA" w14:paraId="08723F8F" w14:textId="77777777" w:rsidTr="00C50270">
        <w:trPr>
          <w:trHeight w:val="283"/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D31D26F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SANACIJE LOKALNIH CESTA UKUPNO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62DCA4" w14:textId="599A82D2" w:rsidR="009859CA" w:rsidRPr="009859CA" w:rsidRDefault="00107904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1,980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B76421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982.650,78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893D0C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791.996,43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F7E753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80,60</w:t>
            </w:r>
          </w:p>
        </w:tc>
      </w:tr>
      <w:tr w:rsidR="009859CA" w:rsidRPr="009859CA" w14:paraId="046C6AD5" w14:textId="77777777" w:rsidTr="00C50270">
        <w:trPr>
          <w:trHeight w:val="283"/>
          <w:jc w:val="center"/>
        </w:trPr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FD13B6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SANACIJE CESTA/KOLNIKA/ZIDOVA SVEUKUPNO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EA00E4" w14:textId="43B98703" w:rsidR="009859CA" w:rsidRPr="009859CA" w:rsidRDefault="00107904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12,44</w:t>
            </w:r>
            <w:r w:rsidR="009859CA"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30E127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4.187.215,07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E3A6319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3.056.872,02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F865F5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73,00</w:t>
            </w:r>
          </w:p>
        </w:tc>
      </w:tr>
    </w:tbl>
    <w:p w14:paraId="2569070E" w14:textId="416AECC4" w:rsidR="00F8051A" w:rsidRDefault="00F8051A" w:rsidP="00EC6EAF">
      <w:pPr>
        <w:spacing w:before="240" w:after="120" w:line="240" w:lineRule="auto"/>
        <w:rPr>
          <w:color w:val="222A35" w:themeColor="text2" w:themeShade="80"/>
        </w:rPr>
      </w:pPr>
      <w:bookmarkStart w:id="54" w:name="_Toc224047013"/>
      <w:r w:rsidRPr="00F8051A">
        <w:rPr>
          <w:color w:val="222A35" w:themeColor="text2" w:themeShade="80"/>
        </w:rPr>
        <w:t xml:space="preserve">Tablica </w:t>
      </w:r>
      <w:r w:rsidRPr="00F8051A">
        <w:rPr>
          <w:color w:val="222A35" w:themeColor="text2" w:themeShade="80"/>
        </w:rPr>
        <w:fldChar w:fldCharType="begin"/>
      </w:r>
      <w:r w:rsidRPr="00F8051A">
        <w:rPr>
          <w:color w:val="222A35" w:themeColor="text2" w:themeShade="80"/>
        </w:rPr>
        <w:instrText xml:space="preserve"> SEQ Tablica \* ARABIC </w:instrText>
      </w:r>
      <w:r w:rsidRPr="00F8051A">
        <w:rPr>
          <w:color w:val="222A35" w:themeColor="text2" w:themeShade="80"/>
        </w:rPr>
        <w:fldChar w:fldCharType="separate"/>
      </w:r>
      <w:r w:rsidR="00EC1B3D">
        <w:rPr>
          <w:noProof/>
          <w:color w:val="222A35" w:themeColor="text2" w:themeShade="80"/>
        </w:rPr>
        <w:t>13</w:t>
      </w:r>
      <w:r w:rsidRPr="00F8051A">
        <w:rPr>
          <w:color w:val="222A35" w:themeColor="text2" w:themeShade="80"/>
        </w:rPr>
        <w:fldChar w:fldCharType="end"/>
      </w:r>
      <w:r w:rsidRPr="00F8051A">
        <w:rPr>
          <w:color w:val="222A35" w:themeColor="text2" w:themeShade="80"/>
        </w:rPr>
        <w:t>. A</w:t>
      </w:r>
      <w:r w:rsidR="009D1C96">
        <w:rPr>
          <w:color w:val="222A35" w:themeColor="text2" w:themeShade="80"/>
        </w:rPr>
        <w:t xml:space="preserve"> </w:t>
      </w:r>
      <w:r w:rsidRPr="00F8051A">
        <w:rPr>
          <w:color w:val="222A35" w:themeColor="text2" w:themeShade="80"/>
        </w:rPr>
        <w:t>100302 Sanacija mostova</w:t>
      </w:r>
      <w:bookmarkEnd w:id="54"/>
    </w:p>
    <w:tbl>
      <w:tblPr>
        <w:tblW w:w="9745" w:type="dxa"/>
        <w:jc w:val="center"/>
        <w:tblLook w:val="04A0" w:firstRow="1" w:lastRow="0" w:firstColumn="1" w:lastColumn="0" w:noHBand="0" w:noVBand="1"/>
      </w:tblPr>
      <w:tblGrid>
        <w:gridCol w:w="846"/>
        <w:gridCol w:w="5670"/>
        <w:gridCol w:w="1264"/>
        <w:gridCol w:w="1247"/>
        <w:gridCol w:w="718"/>
      </w:tblGrid>
      <w:tr w:rsidR="009859CA" w:rsidRPr="009859CA" w14:paraId="1705ED4A" w14:textId="77777777" w:rsidTr="0025071A">
        <w:trPr>
          <w:trHeight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FA8CD3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Broj </w:t>
            </w: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ceste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F92356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CD8C48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8B91AE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608CC9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9859CA" w:rsidRPr="009859CA" w14:paraId="4B104415" w14:textId="77777777" w:rsidTr="0025071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CE36F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F1F7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Usluga izrade izvedbenog projekta sanacije mosta Stara Sušica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6600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11.750,00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DC99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11.750,00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C82D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859CA" w:rsidRPr="009859CA" w14:paraId="4DB754F7" w14:textId="77777777" w:rsidTr="0025071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0BC62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E4DF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mosta Vrbovsko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4715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234.457,36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C512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232.572,40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3894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99,20</w:t>
            </w:r>
          </w:p>
        </w:tc>
      </w:tr>
      <w:tr w:rsidR="009859CA" w:rsidRPr="009859CA" w14:paraId="06FA8C62" w14:textId="77777777" w:rsidTr="0025071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36159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A5019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mosta Stara Sušica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B4D5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42FE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BEE88" w14:textId="45781036" w:rsidR="009859CA" w:rsidRPr="009859CA" w:rsidRDefault="00BC6B2C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9859CA" w:rsidRPr="009859CA" w14:paraId="482B3B68" w14:textId="77777777" w:rsidTr="0025071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84F30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B821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metalne konstrukcije mosta Martinovo Selo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C613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80.496,88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17296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80.470,49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5BA5C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99,97</w:t>
            </w:r>
          </w:p>
        </w:tc>
      </w:tr>
      <w:tr w:rsidR="009859CA" w:rsidRPr="009859CA" w14:paraId="4FC4E65C" w14:textId="77777777" w:rsidTr="0025071A">
        <w:trPr>
          <w:trHeight w:val="283"/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92D268" w14:textId="3946E294" w:rsidR="009859CA" w:rsidRPr="009859CA" w:rsidRDefault="0049721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SANACIJA MOSTOVA</w:t>
            </w:r>
            <w:r w:rsidR="009859CA"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UKUPNO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9EC084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576.704,24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94C4E8A" w14:textId="77777777" w:rsidR="009859CA" w:rsidRPr="009859CA" w:rsidRDefault="009859CA" w:rsidP="009859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324.792,89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F6DBBA8" w14:textId="77777777" w:rsidR="009859CA" w:rsidRPr="009859CA" w:rsidRDefault="009859CA" w:rsidP="009859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859C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56,32</w:t>
            </w:r>
          </w:p>
        </w:tc>
      </w:tr>
    </w:tbl>
    <w:p w14:paraId="0C19C42C" w14:textId="7F6735AE" w:rsidR="00F8051A" w:rsidRDefault="00F8051A" w:rsidP="00F8051A">
      <w:pPr>
        <w:pStyle w:val="Opisslike"/>
        <w:keepNext/>
        <w:spacing w:before="240" w:after="120"/>
        <w:rPr>
          <w:i w:val="0"/>
          <w:color w:val="222A35" w:themeColor="text2" w:themeShade="80"/>
          <w:sz w:val="22"/>
          <w:szCs w:val="22"/>
        </w:rPr>
      </w:pPr>
      <w:bookmarkStart w:id="55" w:name="_Toc224047014"/>
      <w:r w:rsidRPr="00F8051A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begin"/>
      </w:r>
      <w:r w:rsidRPr="00F8051A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F8051A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14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end"/>
      </w:r>
      <w:r w:rsidRPr="00F8051A">
        <w:rPr>
          <w:i w:val="0"/>
          <w:color w:val="222A35" w:themeColor="text2" w:themeShade="80"/>
          <w:sz w:val="22"/>
          <w:szCs w:val="22"/>
        </w:rPr>
        <w:t>. A</w:t>
      </w:r>
      <w:r w:rsidR="009D1C96">
        <w:rPr>
          <w:i w:val="0"/>
          <w:color w:val="222A35" w:themeColor="text2" w:themeShade="80"/>
          <w:sz w:val="22"/>
          <w:szCs w:val="22"/>
        </w:rPr>
        <w:t xml:space="preserve"> </w:t>
      </w:r>
      <w:r w:rsidRPr="00F8051A">
        <w:rPr>
          <w:i w:val="0"/>
          <w:color w:val="222A35" w:themeColor="text2" w:themeShade="80"/>
          <w:sz w:val="22"/>
          <w:szCs w:val="22"/>
        </w:rPr>
        <w:t>100303 Oprema ceste i postava prometne signalizacije</w:t>
      </w:r>
      <w:bookmarkEnd w:id="55"/>
    </w:p>
    <w:tbl>
      <w:tblPr>
        <w:tblW w:w="9770" w:type="dxa"/>
        <w:jc w:val="center"/>
        <w:tblLook w:val="04A0" w:firstRow="1" w:lastRow="0" w:firstColumn="1" w:lastColumn="0" w:noHBand="0" w:noVBand="1"/>
      </w:tblPr>
      <w:tblGrid>
        <w:gridCol w:w="846"/>
        <w:gridCol w:w="5670"/>
        <w:gridCol w:w="1276"/>
        <w:gridCol w:w="1260"/>
        <w:gridCol w:w="718"/>
      </w:tblGrid>
      <w:tr w:rsidR="00C50270" w:rsidRPr="00C50270" w14:paraId="4C7A8DB5" w14:textId="77777777" w:rsidTr="0025071A">
        <w:trPr>
          <w:trHeight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D1A284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Broj </w:t>
            </w: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ceste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546A8F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88CA2B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6C07B68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4B2FEE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25071A" w:rsidRPr="00C50270" w14:paraId="2B5B4AFF" w14:textId="77777777" w:rsidTr="0025071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B4734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3F54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Povećanje sigurnosti prometa na području Grada Opatije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53E26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44.875,00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2054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41.528,54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1F43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92,54</w:t>
            </w:r>
          </w:p>
        </w:tc>
      </w:tr>
      <w:tr w:rsidR="0025071A" w:rsidRPr="00C50270" w14:paraId="4B341108" w14:textId="77777777" w:rsidTr="0025071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E390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FDBB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Prometni elaborat usklađivanja prometne signalizacije najveće dopuštene mase na lokalitetu </w:t>
            </w:r>
            <w:proofErr w:type="spellStart"/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Mučići</w:t>
            </w:r>
            <w:proofErr w:type="spellEnd"/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(D8)-Klana(ŽC5017)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8B06D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EFA1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EFDE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6950E4" w:rsidRPr="00C50270" w14:paraId="332C2E8E" w14:textId="77777777" w:rsidTr="006950E4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E43A3" w14:textId="77777777" w:rsidR="006950E4" w:rsidRPr="00C50270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94FD" w14:textId="77777777" w:rsidR="006950E4" w:rsidRPr="00C50270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Postavljanje odbojne ograde na lokalitetu </w:t>
            </w:r>
            <w:proofErr w:type="spellStart"/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Mučići</w:t>
            </w:r>
            <w:proofErr w:type="spellEnd"/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-Klana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8068" w14:textId="77777777" w:rsidR="006950E4" w:rsidRPr="00C50270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137.156,25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EF18" w14:textId="77777777" w:rsidR="006950E4" w:rsidRPr="00C50270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5958" w14:textId="42BB3C34" w:rsidR="006950E4" w:rsidRPr="00C50270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61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950E4" w:rsidRPr="00C50270" w14:paraId="4D8816FD" w14:textId="77777777" w:rsidTr="006950E4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D028" w14:textId="77777777" w:rsidR="006950E4" w:rsidRPr="00C50270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ŽC5022</w:t>
            </w: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br/>
              <w:t>LC58014</w:t>
            </w: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br/>
              <w:t>LC58019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6ED1" w14:textId="77777777" w:rsidR="006950E4" w:rsidRPr="00C50270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Prometno-građevinski projekt za povećanje sigurnosti prometa na lokalitetu Klana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0B11" w14:textId="77777777" w:rsidR="006950E4" w:rsidRPr="00C50270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3510" w14:textId="77777777" w:rsidR="006950E4" w:rsidRPr="00C50270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6EE5" w14:textId="66B04335" w:rsidR="006950E4" w:rsidRPr="00C50270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5619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5071A" w:rsidRPr="00C50270" w14:paraId="788C7D87" w14:textId="77777777" w:rsidTr="0025071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6D2E8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F6CE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Postavljanje odbojne ograde na lokalitetu </w:t>
            </w:r>
            <w:proofErr w:type="spellStart"/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Zelin</w:t>
            </w:r>
            <w:proofErr w:type="spellEnd"/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Mrzlovodički</w:t>
            </w:r>
            <w:proofErr w:type="spellEnd"/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-Gornje Jelenje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25AA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106.085,60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A2A8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98.974,81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3CDD7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93,30</w:t>
            </w:r>
          </w:p>
        </w:tc>
      </w:tr>
      <w:tr w:rsidR="0025071A" w:rsidRPr="00C50270" w14:paraId="2149B59A" w14:textId="77777777" w:rsidTr="0025071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AEBC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ŽC5050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4488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Postavljanje odbojne ograde na lokalitetu Liganj-Lovran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5CDE8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99.568,75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EF1B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D6FE" w14:textId="7E34D78A" w:rsidR="00C50270" w:rsidRPr="00C50270" w:rsidRDefault="00BC6B2C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5071A" w:rsidRPr="00C50270" w14:paraId="0AAA61CA" w14:textId="77777777" w:rsidTr="0025071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89B01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ŽC5065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48D5" w14:textId="07C305FC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Povećanje sigurnosti prometa na lokalitetu Kraljevi</w:t>
            </w:r>
            <w:r w:rsidR="004972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ca (ulica Kalina-raskrižje DC8-U</w:t>
            </w: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lice </w:t>
            </w:r>
            <w:proofErr w:type="spellStart"/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Palih</w:t>
            </w:r>
            <w:proofErr w:type="spellEnd"/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boraca-</w:t>
            </w:r>
            <w:proofErr w:type="spellStart"/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Rovina</w:t>
            </w:r>
            <w:proofErr w:type="spellEnd"/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  <w:proofErr w:type="spellStart"/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Pavešića</w:t>
            </w:r>
            <w:proofErr w:type="spellEnd"/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9FA8E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15.790,94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F7FE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15.790,94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C661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25071A" w:rsidRPr="00C50270" w14:paraId="113FFCA9" w14:textId="77777777" w:rsidTr="0025071A">
        <w:trPr>
          <w:trHeight w:val="283"/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5764119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OPREMA CESTE I POSTAVA PROMETNE SIGNALIZACIJE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4AC3731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414.676,54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DCE4E35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157.494,29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9B2750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37,98</w:t>
            </w:r>
          </w:p>
        </w:tc>
      </w:tr>
    </w:tbl>
    <w:p w14:paraId="25DAC49E" w14:textId="0EE1E16E" w:rsidR="000632DD" w:rsidRDefault="000632DD" w:rsidP="00F8051A">
      <w:pPr>
        <w:pStyle w:val="Opisslike"/>
        <w:keepNext/>
        <w:spacing w:before="240" w:after="120"/>
        <w:rPr>
          <w:i w:val="0"/>
          <w:color w:val="222A35" w:themeColor="text2" w:themeShade="80"/>
          <w:sz w:val="22"/>
          <w:szCs w:val="22"/>
        </w:rPr>
      </w:pPr>
      <w:bookmarkStart w:id="56" w:name="_Toc135120988"/>
      <w:bookmarkStart w:id="57" w:name="_Toc224047015"/>
      <w:r w:rsidRPr="00F8051A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begin"/>
      </w:r>
      <w:r w:rsidRPr="00F8051A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F8051A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15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end"/>
      </w:r>
      <w:r w:rsidRPr="00F8051A">
        <w:rPr>
          <w:i w:val="0"/>
          <w:color w:val="222A35" w:themeColor="text2" w:themeShade="80"/>
          <w:sz w:val="22"/>
          <w:szCs w:val="22"/>
        </w:rPr>
        <w:t xml:space="preserve">. </w:t>
      </w:r>
      <w:r w:rsidR="00E644AA" w:rsidRPr="00F8051A">
        <w:rPr>
          <w:i w:val="0"/>
          <w:color w:val="222A35" w:themeColor="text2" w:themeShade="80"/>
          <w:sz w:val="22"/>
          <w:szCs w:val="22"/>
        </w:rPr>
        <w:t xml:space="preserve">A 100304 </w:t>
      </w:r>
      <w:r w:rsidRPr="00F8051A">
        <w:rPr>
          <w:i w:val="0"/>
          <w:color w:val="222A35" w:themeColor="text2" w:themeShade="80"/>
          <w:sz w:val="22"/>
          <w:szCs w:val="22"/>
        </w:rPr>
        <w:t>Interventne mjere i zahvati</w:t>
      </w:r>
      <w:bookmarkEnd w:id="56"/>
      <w:bookmarkEnd w:id="57"/>
    </w:p>
    <w:tbl>
      <w:tblPr>
        <w:tblW w:w="9780" w:type="dxa"/>
        <w:jc w:val="center"/>
        <w:tblLook w:val="04A0" w:firstRow="1" w:lastRow="0" w:firstColumn="1" w:lastColumn="0" w:noHBand="0" w:noVBand="1"/>
      </w:tblPr>
      <w:tblGrid>
        <w:gridCol w:w="846"/>
        <w:gridCol w:w="5670"/>
        <w:gridCol w:w="1276"/>
        <w:gridCol w:w="1282"/>
        <w:gridCol w:w="706"/>
      </w:tblGrid>
      <w:tr w:rsidR="00C50270" w:rsidRPr="00C50270" w14:paraId="026B84E7" w14:textId="77777777" w:rsidTr="0025071A">
        <w:trPr>
          <w:trHeight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63D6F7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Broj </w:t>
            </w: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ceste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3AC78E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0655F2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1C0A11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BB1041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25071A" w:rsidRPr="00C50270" w14:paraId="464DDDBA" w14:textId="77777777" w:rsidTr="0025071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4BFC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DF9FC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 inspekcijskim rješenjima i nepredviđenim situacijama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17A2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344.442,84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6896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212.909,53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007F4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61,81</w:t>
            </w:r>
          </w:p>
        </w:tc>
      </w:tr>
      <w:tr w:rsidR="00C50270" w:rsidRPr="00C50270" w14:paraId="21C7B289" w14:textId="77777777" w:rsidTr="0025071A">
        <w:trPr>
          <w:trHeight w:val="283"/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400A5A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INTERVENTNE MJERE I ZAHVATI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7D9FA1C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344.442,84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5CCEBA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212.909,53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738525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61,81</w:t>
            </w:r>
          </w:p>
        </w:tc>
      </w:tr>
    </w:tbl>
    <w:p w14:paraId="6C95D75E" w14:textId="4B741148" w:rsidR="00136596" w:rsidRDefault="000632DD" w:rsidP="00136596">
      <w:pPr>
        <w:pStyle w:val="Opisslike"/>
        <w:keepNext/>
        <w:spacing w:before="240" w:after="120"/>
        <w:rPr>
          <w:i w:val="0"/>
          <w:color w:val="222A35" w:themeColor="text2" w:themeShade="80"/>
          <w:sz w:val="22"/>
          <w:szCs w:val="22"/>
        </w:rPr>
      </w:pPr>
      <w:bookmarkStart w:id="58" w:name="_Toc135120990"/>
      <w:bookmarkStart w:id="59" w:name="_Toc224047016"/>
      <w:r w:rsidRPr="00F8051A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begin"/>
      </w:r>
      <w:r w:rsidRPr="00F8051A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F8051A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16</w:t>
      </w:r>
      <w:r w:rsidRPr="00F8051A">
        <w:rPr>
          <w:i w:val="0"/>
          <w:color w:val="222A35" w:themeColor="text2" w:themeShade="80"/>
          <w:sz w:val="22"/>
          <w:szCs w:val="22"/>
        </w:rPr>
        <w:fldChar w:fldCharType="end"/>
      </w:r>
      <w:r w:rsidRPr="00F8051A">
        <w:rPr>
          <w:i w:val="0"/>
          <w:color w:val="222A35" w:themeColor="text2" w:themeShade="80"/>
          <w:sz w:val="22"/>
          <w:szCs w:val="22"/>
        </w:rPr>
        <w:t>. A 100305 Projektiranje</w:t>
      </w:r>
      <w:bookmarkEnd w:id="58"/>
      <w:bookmarkEnd w:id="59"/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846"/>
        <w:gridCol w:w="5670"/>
        <w:gridCol w:w="1276"/>
        <w:gridCol w:w="1275"/>
        <w:gridCol w:w="709"/>
      </w:tblGrid>
      <w:tr w:rsidR="00C50270" w:rsidRPr="00C50270" w14:paraId="38E48C81" w14:textId="77777777" w:rsidTr="0025071A">
        <w:trPr>
          <w:trHeight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691241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Broj </w:t>
            </w: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ceste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EE5095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963F78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0DA22E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139268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C50270" w:rsidRPr="00C50270" w14:paraId="316282AE" w14:textId="77777777" w:rsidTr="0025071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F9EB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8A09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projektne dokumentacije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A30B1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188.375,00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AE3B1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04FF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50,43</w:t>
            </w:r>
          </w:p>
        </w:tc>
      </w:tr>
      <w:tr w:rsidR="00C50270" w:rsidRPr="00C50270" w14:paraId="2A2FEC32" w14:textId="77777777" w:rsidTr="0025071A">
        <w:trPr>
          <w:trHeight w:val="283"/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2B3C1119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PROJEKTIRANJE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A68B54A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188.375,00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DFF9D1D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95.000,00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3B5B72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50,43</w:t>
            </w:r>
          </w:p>
        </w:tc>
      </w:tr>
    </w:tbl>
    <w:p w14:paraId="04D05D61" w14:textId="1FCC4415" w:rsidR="000632DD" w:rsidRDefault="000632DD" w:rsidP="000632DD">
      <w:pPr>
        <w:pStyle w:val="Opisslike"/>
        <w:keepNext/>
        <w:spacing w:before="240" w:after="120"/>
        <w:rPr>
          <w:i w:val="0"/>
          <w:color w:val="222A35" w:themeColor="text2" w:themeShade="80"/>
          <w:sz w:val="22"/>
          <w:szCs w:val="22"/>
        </w:rPr>
      </w:pPr>
      <w:bookmarkStart w:id="60" w:name="_Toc135120991"/>
      <w:bookmarkStart w:id="61" w:name="_Toc224047017"/>
      <w:r w:rsidRPr="002308A7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begin"/>
      </w:r>
      <w:r w:rsidRPr="002308A7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2308A7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17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end"/>
      </w:r>
      <w:r w:rsidRPr="002308A7">
        <w:rPr>
          <w:i w:val="0"/>
          <w:color w:val="222A35" w:themeColor="text2" w:themeShade="80"/>
          <w:sz w:val="22"/>
          <w:szCs w:val="22"/>
        </w:rPr>
        <w:t xml:space="preserve">. A 100306 Proširenje </w:t>
      </w:r>
      <w:r w:rsidR="00E644AA" w:rsidRPr="002308A7">
        <w:rPr>
          <w:i w:val="0"/>
          <w:color w:val="222A35" w:themeColor="text2" w:themeShade="80"/>
          <w:sz w:val="22"/>
          <w:szCs w:val="22"/>
        </w:rPr>
        <w:t xml:space="preserve">evidencije </w:t>
      </w:r>
      <w:r w:rsidRPr="002308A7">
        <w:rPr>
          <w:i w:val="0"/>
          <w:color w:val="222A35" w:themeColor="text2" w:themeShade="80"/>
          <w:sz w:val="22"/>
          <w:szCs w:val="22"/>
        </w:rPr>
        <w:t>baze cestovnih podataka</w:t>
      </w:r>
      <w:bookmarkEnd w:id="60"/>
      <w:bookmarkEnd w:id="61"/>
    </w:p>
    <w:tbl>
      <w:tblPr>
        <w:tblW w:w="9779" w:type="dxa"/>
        <w:jc w:val="center"/>
        <w:tblLook w:val="04A0" w:firstRow="1" w:lastRow="0" w:firstColumn="1" w:lastColumn="0" w:noHBand="0" w:noVBand="1"/>
      </w:tblPr>
      <w:tblGrid>
        <w:gridCol w:w="846"/>
        <w:gridCol w:w="5670"/>
        <w:gridCol w:w="1276"/>
        <w:gridCol w:w="1281"/>
        <w:gridCol w:w="706"/>
      </w:tblGrid>
      <w:tr w:rsidR="00C50270" w:rsidRPr="00C50270" w14:paraId="3A70B68A" w14:textId="77777777" w:rsidTr="0025071A">
        <w:trPr>
          <w:trHeight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70914B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Broj </w:t>
            </w: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ceste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82EB0D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800E6B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B5D74C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112977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C50270" w:rsidRPr="00C50270" w14:paraId="1029A7F7" w14:textId="77777777" w:rsidTr="0025071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8CCD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3E95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Georeferencirano</w:t>
            </w:r>
            <w:proofErr w:type="spellEnd"/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sferno snimanje županijskih i lokalnih cesta, ažuriranje podataka o vertikalnoj i horizontalnoj signalizaciji i unos promjena u ISOC nastalih redovitim održavanjem.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AB71E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56.937,50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BD55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36.937,50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51FF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64,87</w:t>
            </w:r>
          </w:p>
        </w:tc>
      </w:tr>
      <w:tr w:rsidR="00C50270" w:rsidRPr="00C50270" w14:paraId="769695A3" w14:textId="77777777" w:rsidTr="0025071A">
        <w:trPr>
          <w:trHeight w:val="283"/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291D59D1" w14:textId="77777777" w:rsidR="00C50270" w:rsidRPr="00C50270" w:rsidRDefault="00C50270" w:rsidP="00C502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PROŠIRENJE EVIDENCIJE BAZE CESTOVNIH PODATAKA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60B6B69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56.937,50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F2475BB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36.937,50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4C577EE" w14:textId="77777777" w:rsidR="00C50270" w:rsidRPr="00C50270" w:rsidRDefault="00C50270" w:rsidP="00C502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C5027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64,87</w:t>
            </w:r>
          </w:p>
        </w:tc>
      </w:tr>
    </w:tbl>
    <w:p w14:paraId="6898B9DE" w14:textId="77777777" w:rsidR="00C50270" w:rsidRPr="00C50270" w:rsidRDefault="00C50270" w:rsidP="00C50270"/>
    <w:p w14:paraId="1D768779" w14:textId="73D39706" w:rsidR="000632DD" w:rsidRDefault="000632DD" w:rsidP="000632DD">
      <w:pPr>
        <w:pStyle w:val="Opisslike"/>
        <w:keepNext/>
        <w:spacing w:before="240" w:after="120"/>
        <w:rPr>
          <w:i w:val="0"/>
          <w:color w:val="222A35" w:themeColor="text2" w:themeShade="80"/>
          <w:sz w:val="22"/>
          <w:szCs w:val="22"/>
        </w:rPr>
      </w:pPr>
      <w:bookmarkStart w:id="62" w:name="_Toc135120992"/>
      <w:bookmarkStart w:id="63" w:name="_Toc224047018"/>
      <w:r w:rsidRPr="002308A7">
        <w:rPr>
          <w:i w:val="0"/>
          <w:color w:val="222A35" w:themeColor="text2" w:themeShade="80"/>
          <w:sz w:val="22"/>
          <w:szCs w:val="22"/>
        </w:rPr>
        <w:lastRenderedPageBreak/>
        <w:t xml:space="preserve">Tablica 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begin"/>
      </w:r>
      <w:r w:rsidRPr="002308A7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2308A7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18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end"/>
      </w:r>
      <w:r w:rsidRPr="002308A7">
        <w:rPr>
          <w:i w:val="0"/>
          <w:color w:val="222A35" w:themeColor="text2" w:themeShade="80"/>
          <w:sz w:val="22"/>
          <w:szCs w:val="22"/>
        </w:rPr>
        <w:t>. A 100308</w:t>
      </w:r>
      <w:r w:rsidR="00E644AA" w:rsidRPr="002308A7">
        <w:rPr>
          <w:i w:val="0"/>
          <w:color w:val="222A35" w:themeColor="text2" w:themeShade="80"/>
          <w:sz w:val="22"/>
          <w:szCs w:val="22"/>
        </w:rPr>
        <w:t xml:space="preserve"> </w:t>
      </w:r>
      <w:r w:rsidRPr="002308A7">
        <w:rPr>
          <w:i w:val="0"/>
          <w:color w:val="222A35" w:themeColor="text2" w:themeShade="80"/>
          <w:sz w:val="22"/>
          <w:szCs w:val="22"/>
        </w:rPr>
        <w:t>Geodetske usluge</w:t>
      </w:r>
      <w:bookmarkEnd w:id="62"/>
      <w:bookmarkEnd w:id="63"/>
    </w:p>
    <w:tbl>
      <w:tblPr>
        <w:tblW w:w="9783" w:type="dxa"/>
        <w:jc w:val="center"/>
        <w:tblLook w:val="04A0" w:firstRow="1" w:lastRow="0" w:firstColumn="1" w:lastColumn="0" w:noHBand="0" w:noVBand="1"/>
      </w:tblPr>
      <w:tblGrid>
        <w:gridCol w:w="846"/>
        <w:gridCol w:w="5670"/>
        <w:gridCol w:w="1276"/>
        <w:gridCol w:w="1285"/>
        <w:gridCol w:w="706"/>
      </w:tblGrid>
      <w:tr w:rsidR="0025071A" w:rsidRPr="0025071A" w14:paraId="501A976B" w14:textId="77777777" w:rsidTr="0025071A">
        <w:trPr>
          <w:trHeight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70BB77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Broj </w:t>
            </w: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ceste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D4784F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182B64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457A1C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6A7BC2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25071A" w:rsidRPr="0025071A" w14:paraId="597BFB1F" w14:textId="77777777" w:rsidTr="0025071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CAD3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CA28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Upis javnih cesta u zemljišne knjige, izrada parcelacijskih elaborata, snimaka izvedenog stanja, elaborata </w:t>
            </w:r>
            <w:proofErr w:type="spellStart"/>
            <w:r w:rsidRPr="00250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iskolčenja</w:t>
            </w:r>
            <w:proofErr w:type="spellEnd"/>
            <w:r w:rsidRPr="00250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dr.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C41A3" w14:textId="77777777" w:rsidR="0025071A" w:rsidRPr="0025071A" w:rsidRDefault="0025071A" w:rsidP="0025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93.775,00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F3A4" w14:textId="77777777" w:rsidR="0025071A" w:rsidRPr="0025071A" w:rsidRDefault="0025071A" w:rsidP="0025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46.225,00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A3DB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49,29</w:t>
            </w:r>
          </w:p>
        </w:tc>
      </w:tr>
      <w:tr w:rsidR="0025071A" w:rsidRPr="0025071A" w14:paraId="51168C14" w14:textId="77777777" w:rsidTr="0025071A">
        <w:trPr>
          <w:trHeight w:val="283"/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045DCA21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GEODETSKE USLUGE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1D1FFCC0" w14:textId="77777777" w:rsidR="0025071A" w:rsidRPr="0025071A" w:rsidRDefault="0025071A" w:rsidP="0025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93.775,00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vAlign w:val="center"/>
            <w:hideMark/>
          </w:tcPr>
          <w:p w14:paraId="6F302465" w14:textId="77777777" w:rsidR="0025071A" w:rsidRPr="0025071A" w:rsidRDefault="0025071A" w:rsidP="0025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46.225,00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6EE"/>
            <w:noWrap/>
            <w:vAlign w:val="center"/>
            <w:hideMark/>
          </w:tcPr>
          <w:p w14:paraId="24F11DF2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49,29</w:t>
            </w:r>
          </w:p>
        </w:tc>
      </w:tr>
    </w:tbl>
    <w:p w14:paraId="51AD6F85" w14:textId="0ED0C9DA" w:rsidR="00543E22" w:rsidRDefault="000632DD" w:rsidP="00543E22">
      <w:pPr>
        <w:pStyle w:val="Opisslike"/>
        <w:keepNext/>
        <w:spacing w:before="240" w:after="120"/>
        <w:ind w:left="964" w:hanging="964"/>
        <w:rPr>
          <w:i w:val="0"/>
          <w:color w:val="222A35" w:themeColor="text2" w:themeShade="80"/>
          <w:sz w:val="22"/>
          <w:szCs w:val="22"/>
        </w:rPr>
      </w:pPr>
      <w:bookmarkStart w:id="64" w:name="_Toc135120993"/>
      <w:bookmarkStart w:id="65" w:name="_Toc224047019"/>
      <w:r w:rsidRPr="002308A7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begin"/>
      </w:r>
      <w:r w:rsidRPr="002308A7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2308A7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19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end"/>
      </w:r>
      <w:r w:rsidRPr="002308A7">
        <w:rPr>
          <w:i w:val="0"/>
          <w:color w:val="222A35" w:themeColor="text2" w:themeShade="80"/>
          <w:sz w:val="22"/>
          <w:szCs w:val="22"/>
        </w:rPr>
        <w:t>. A 1003</w:t>
      </w:r>
      <w:r w:rsidR="00543E22" w:rsidRPr="002308A7">
        <w:rPr>
          <w:i w:val="0"/>
          <w:color w:val="222A35" w:themeColor="text2" w:themeShade="80"/>
          <w:sz w:val="22"/>
          <w:szCs w:val="22"/>
        </w:rPr>
        <w:t>11</w:t>
      </w:r>
      <w:r w:rsidRPr="002308A7">
        <w:rPr>
          <w:i w:val="0"/>
          <w:color w:val="222A35" w:themeColor="text2" w:themeShade="80"/>
          <w:sz w:val="22"/>
          <w:szCs w:val="22"/>
        </w:rPr>
        <w:t xml:space="preserve"> Ostale nespomenute usluge vezane uz radove izvanrednog održavanja cesta</w:t>
      </w:r>
      <w:bookmarkEnd w:id="64"/>
      <w:bookmarkEnd w:id="65"/>
    </w:p>
    <w:tbl>
      <w:tblPr>
        <w:tblW w:w="9834" w:type="dxa"/>
        <w:jc w:val="center"/>
        <w:tblLook w:val="04A0" w:firstRow="1" w:lastRow="0" w:firstColumn="1" w:lastColumn="0" w:noHBand="0" w:noVBand="1"/>
      </w:tblPr>
      <w:tblGrid>
        <w:gridCol w:w="846"/>
        <w:gridCol w:w="5670"/>
        <w:gridCol w:w="1276"/>
        <w:gridCol w:w="1275"/>
        <w:gridCol w:w="767"/>
      </w:tblGrid>
      <w:tr w:rsidR="0025071A" w:rsidRPr="0025071A" w14:paraId="5FBAB2FE" w14:textId="77777777" w:rsidTr="0025071A">
        <w:trPr>
          <w:trHeight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3D8859F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Broj </w:t>
            </w: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ceste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8B03FF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425224E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A1EDEB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311334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25071A" w:rsidRPr="0025071A" w14:paraId="69993159" w14:textId="77777777" w:rsidTr="0025071A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92EB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F046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Kontrolna ispitivanja sukladno Općim tehničkim uvjetima na cestama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7A265" w14:textId="77777777" w:rsidR="0025071A" w:rsidRPr="0025071A" w:rsidRDefault="0025071A" w:rsidP="0025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C4EC" w14:textId="77777777" w:rsidR="0025071A" w:rsidRPr="0025071A" w:rsidRDefault="0025071A" w:rsidP="0025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86F79" w14:textId="4F3064B2" w:rsidR="0025071A" w:rsidRPr="0025071A" w:rsidRDefault="00BC6B2C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25071A" w:rsidRPr="0025071A" w14:paraId="6BD301A1" w14:textId="77777777" w:rsidTr="0025071A">
        <w:trPr>
          <w:trHeight w:val="283"/>
          <w:jc w:val="center"/>
        </w:trPr>
        <w:tc>
          <w:tcPr>
            <w:tcW w:w="6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070C9B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OSTALE NESPOMENUTE USLUGE VEZANE UZ RADOVE IZVANREDNOG ODRŽAVANJA 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A7B7803" w14:textId="77777777" w:rsidR="0025071A" w:rsidRPr="0025071A" w:rsidRDefault="0025071A" w:rsidP="0025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B805E6" w14:textId="77777777" w:rsidR="0025071A" w:rsidRPr="0025071A" w:rsidRDefault="0025071A" w:rsidP="0025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7C7173B" w14:textId="58C23D94" w:rsidR="0025071A" w:rsidRPr="0025071A" w:rsidRDefault="00BC6B2C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5F204DC5" w14:textId="010DAEDF" w:rsidR="000632DD" w:rsidRDefault="000632DD" w:rsidP="00EC6EAF">
      <w:pPr>
        <w:pStyle w:val="Naslov3"/>
      </w:pPr>
      <w:bookmarkStart w:id="66" w:name="_Toc224047558"/>
      <w:r>
        <w:t>PROGRAM 1004: GRADNJA</w:t>
      </w:r>
      <w:r w:rsidRPr="00CD5B87">
        <w:t xml:space="preserve"> CESTA</w:t>
      </w:r>
      <w:bookmarkEnd w:id="66"/>
    </w:p>
    <w:p w14:paraId="443CEC80" w14:textId="77777777" w:rsidR="000632DD" w:rsidRDefault="000632DD" w:rsidP="002336DE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Poslovi gradnje i rekonstrukcije cesta obuhvaćaju:</w:t>
      </w:r>
    </w:p>
    <w:p w14:paraId="570FA585" w14:textId="442EDBA6" w:rsidR="000632DD" w:rsidRPr="0049721A" w:rsidRDefault="000632DD" w:rsidP="0049721A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49721A">
        <w:rPr>
          <w:rFonts w:cstheme="minorHAnsi"/>
        </w:rPr>
        <w:t>pripremu, izradu i ustupanje izrade potrebnih studija te njihovu stručnu ocjenu</w:t>
      </w:r>
      <w:r w:rsidR="002336DE" w:rsidRPr="0049721A">
        <w:rPr>
          <w:rFonts w:cstheme="minorHAnsi"/>
        </w:rPr>
        <w:t>,</w:t>
      </w:r>
    </w:p>
    <w:p w14:paraId="0E4DCB24" w14:textId="163DC93B" w:rsidR="000632DD" w:rsidRPr="0049721A" w:rsidRDefault="000632DD" w:rsidP="0049721A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49721A">
        <w:rPr>
          <w:rFonts w:cstheme="minorHAnsi"/>
        </w:rPr>
        <w:t>pokretanje postupka procjene utjecaja zahvata na okoliš</w:t>
      </w:r>
      <w:r w:rsidR="002336DE" w:rsidRPr="0049721A">
        <w:rPr>
          <w:rFonts w:cstheme="minorHAnsi"/>
        </w:rPr>
        <w:t>,</w:t>
      </w:r>
    </w:p>
    <w:p w14:paraId="5976E62A" w14:textId="3CCCA39C" w:rsidR="000632DD" w:rsidRPr="0049721A" w:rsidRDefault="000632DD" w:rsidP="0049721A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49721A">
        <w:rPr>
          <w:rFonts w:cstheme="minorHAnsi"/>
        </w:rPr>
        <w:t>projektiranje s istražnim radovima</w:t>
      </w:r>
      <w:r w:rsidR="002336DE" w:rsidRPr="0049721A">
        <w:rPr>
          <w:rFonts w:cstheme="minorHAnsi"/>
        </w:rPr>
        <w:t>,</w:t>
      </w:r>
    </w:p>
    <w:p w14:paraId="4168BB0A" w14:textId="24DB71AC" w:rsidR="000632DD" w:rsidRPr="0049721A" w:rsidRDefault="000632DD" w:rsidP="0049721A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49721A">
        <w:rPr>
          <w:rFonts w:cstheme="minorHAnsi"/>
        </w:rPr>
        <w:t>ishođenje lokacijskih, građevinskih i uporabnih dozvola</w:t>
      </w:r>
      <w:r w:rsidR="002336DE" w:rsidRPr="0049721A">
        <w:rPr>
          <w:rFonts w:cstheme="minorHAnsi"/>
        </w:rPr>
        <w:t>,</w:t>
      </w:r>
    </w:p>
    <w:p w14:paraId="69DC4A0B" w14:textId="73471598" w:rsidR="000632DD" w:rsidRPr="0049721A" w:rsidRDefault="000632DD" w:rsidP="0049721A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49721A">
        <w:rPr>
          <w:rFonts w:cstheme="minorHAnsi"/>
        </w:rPr>
        <w:t>geodetske radove</w:t>
      </w:r>
      <w:r w:rsidR="002336DE" w:rsidRPr="0049721A">
        <w:rPr>
          <w:rFonts w:cstheme="minorHAnsi"/>
        </w:rPr>
        <w:t>,</w:t>
      </w:r>
    </w:p>
    <w:p w14:paraId="431178EA" w14:textId="0959CED3" w:rsidR="000632DD" w:rsidRPr="0049721A" w:rsidRDefault="000632DD" w:rsidP="0049721A">
      <w:pPr>
        <w:pStyle w:val="Odlomakpopisa"/>
        <w:numPr>
          <w:ilvl w:val="0"/>
          <w:numId w:val="19"/>
        </w:numPr>
        <w:spacing w:after="120" w:line="240" w:lineRule="auto"/>
        <w:jc w:val="both"/>
        <w:rPr>
          <w:rFonts w:cstheme="minorHAnsi"/>
        </w:rPr>
      </w:pPr>
      <w:r w:rsidRPr="0049721A">
        <w:rPr>
          <w:rFonts w:cstheme="minorHAnsi"/>
        </w:rPr>
        <w:t>radove građenja i rekonstrukcije</w:t>
      </w:r>
      <w:r w:rsidR="002336DE" w:rsidRPr="0049721A">
        <w:rPr>
          <w:rFonts w:cstheme="minorHAnsi"/>
        </w:rPr>
        <w:t>.</w:t>
      </w:r>
    </w:p>
    <w:p w14:paraId="38A4D3AB" w14:textId="12529F5A" w:rsidR="007834FD" w:rsidRDefault="000632DD" w:rsidP="000632D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Za </w:t>
      </w:r>
      <w:r w:rsidRPr="00CD5B87">
        <w:rPr>
          <w:rFonts w:cstheme="minorHAnsi"/>
        </w:rPr>
        <w:t>potrebe izvršenja aktivnosti sadržanih u</w:t>
      </w:r>
      <w:r w:rsidR="008B6BC1">
        <w:rPr>
          <w:rFonts w:cstheme="minorHAnsi"/>
        </w:rPr>
        <w:t xml:space="preserve"> programu gradnje</w:t>
      </w:r>
      <w:r w:rsidRPr="00CD5B87">
        <w:rPr>
          <w:rFonts w:cstheme="minorHAnsi"/>
        </w:rPr>
        <w:t xml:space="preserve"> cesta planirana su</w:t>
      </w:r>
      <w:r>
        <w:rPr>
          <w:rFonts w:cstheme="minorHAnsi"/>
        </w:rPr>
        <w:t xml:space="preserve"> sredstva u iznosu </w:t>
      </w:r>
      <w:r w:rsidR="00C3453F">
        <w:rPr>
          <w:rFonts w:cstheme="minorHAnsi"/>
        </w:rPr>
        <w:t xml:space="preserve">od </w:t>
      </w:r>
      <w:r w:rsidR="002F32C6">
        <w:rPr>
          <w:rFonts w:cstheme="minorHAnsi"/>
        </w:rPr>
        <w:t>4.071.088,52</w:t>
      </w:r>
      <w:r w:rsidR="00A2348E">
        <w:rPr>
          <w:rFonts w:cstheme="minorHAnsi"/>
        </w:rPr>
        <w:t xml:space="preserve"> eur</w:t>
      </w:r>
      <w:r w:rsidR="00815026">
        <w:rPr>
          <w:rFonts w:cstheme="minorHAnsi"/>
        </w:rPr>
        <w:t>a</w:t>
      </w:r>
      <w:r>
        <w:rPr>
          <w:rFonts w:cstheme="minorHAnsi"/>
        </w:rPr>
        <w:t xml:space="preserve">, a utrošena su u iznosu </w:t>
      </w:r>
      <w:r w:rsidR="00C3453F">
        <w:rPr>
          <w:rFonts w:cstheme="minorHAnsi"/>
        </w:rPr>
        <w:t xml:space="preserve">od </w:t>
      </w:r>
      <w:r w:rsidR="002F32C6">
        <w:rPr>
          <w:rFonts w:cstheme="minorHAnsi"/>
        </w:rPr>
        <w:t>2.882.245,85</w:t>
      </w:r>
      <w:r w:rsidR="00A2348E">
        <w:rPr>
          <w:rFonts w:cstheme="minorHAnsi"/>
        </w:rPr>
        <w:t xml:space="preserve"> eur</w:t>
      </w:r>
      <w:r w:rsidR="00815026">
        <w:rPr>
          <w:rFonts w:cstheme="minorHAnsi"/>
        </w:rPr>
        <w:t>a</w:t>
      </w:r>
      <w:r>
        <w:rPr>
          <w:rFonts w:cstheme="minorHAnsi"/>
        </w:rPr>
        <w:t xml:space="preserve"> ili </w:t>
      </w:r>
      <w:r w:rsidR="002F32C6">
        <w:rPr>
          <w:rFonts w:cstheme="minorHAnsi"/>
        </w:rPr>
        <w:t>70,80</w:t>
      </w:r>
      <w:r w:rsidRPr="00CD5B87">
        <w:rPr>
          <w:rFonts w:cstheme="minorHAnsi"/>
        </w:rPr>
        <w:t>%</w:t>
      </w:r>
      <w:r w:rsidR="002F32C6">
        <w:rPr>
          <w:rFonts w:cstheme="minorHAnsi"/>
        </w:rPr>
        <w:t xml:space="preserve"> godišnjeg plana</w:t>
      </w:r>
      <w:r w:rsidRPr="00CD5B87">
        <w:rPr>
          <w:rFonts w:cstheme="minorHAnsi"/>
        </w:rPr>
        <w:t>.</w:t>
      </w:r>
      <w:r w:rsidR="002F32C6">
        <w:rPr>
          <w:rFonts w:cstheme="minorHAnsi"/>
        </w:rPr>
        <w:t xml:space="preserve"> </w:t>
      </w:r>
      <w:r w:rsidR="002F32C6" w:rsidRPr="002F32C6">
        <w:rPr>
          <w:rFonts w:cstheme="minorHAnsi"/>
        </w:rPr>
        <w:t xml:space="preserve">Najveći udio planiranih sredstava odnosi se na ulaganja u cestu ŽC5033 lokalitet </w:t>
      </w:r>
      <w:proofErr w:type="spellStart"/>
      <w:r w:rsidR="002F32C6" w:rsidRPr="002F32C6">
        <w:rPr>
          <w:rFonts w:cstheme="minorHAnsi"/>
        </w:rPr>
        <w:t>Kuželj</w:t>
      </w:r>
      <w:proofErr w:type="spellEnd"/>
      <w:r w:rsidR="00BF589A">
        <w:rPr>
          <w:rFonts w:cstheme="minorHAnsi"/>
        </w:rPr>
        <w:t xml:space="preserve"> </w:t>
      </w:r>
      <w:r w:rsidR="002F32C6" w:rsidRPr="002F32C6">
        <w:rPr>
          <w:rFonts w:cstheme="minorHAnsi"/>
        </w:rPr>
        <w:t>-</w:t>
      </w:r>
      <w:r w:rsidR="00BF589A">
        <w:rPr>
          <w:rFonts w:cstheme="minorHAnsi"/>
        </w:rPr>
        <w:t xml:space="preserve"> </w:t>
      </w:r>
      <w:r w:rsidR="002F32C6" w:rsidRPr="002F32C6">
        <w:rPr>
          <w:rFonts w:cstheme="minorHAnsi"/>
        </w:rPr>
        <w:t xml:space="preserve">izmicanje županijske ceste ŽC5033 izvan naselja </w:t>
      </w:r>
      <w:proofErr w:type="spellStart"/>
      <w:r w:rsidR="002F32C6" w:rsidRPr="002F32C6">
        <w:rPr>
          <w:rFonts w:cstheme="minorHAnsi"/>
        </w:rPr>
        <w:t>Kuželj</w:t>
      </w:r>
      <w:proofErr w:type="spellEnd"/>
      <w:r w:rsidR="002F32C6" w:rsidRPr="002F32C6">
        <w:rPr>
          <w:rFonts w:cstheme="minorHAnsi"/>
        </w:rPr>
        <w:t xml:space="preserve">, </w:t>
      </w:r>
      <w:proofErr w:type="spellStart"/>
      <w:r w:rsidR="002F32C6" w:rsidRPr="002F32C6">
        <w:rPr>
          <w:rFonts w:cstheme="minorHAnsi"/>
        </w:rPr>
        <w:t>Grbajel</w:t>
      </w:r>
      <w:proofErr w:type="spellEnd"/>
      <w:r w:rsidR="002F32C6" w:rsidRPr="002F32C6">
        <w:rPr>
          <w:rFonts w:cstheme="minorHAnsi"/>
        </w:rPr>
        <w:t xml:space="preserve"> i Guče Selo. Radovi se odvijaju u skladu sa planiranom dinamikom te se </w:t>
      </w:r>
      <w:r w:rsidR="00BF589A">
        <w:rPr>
          <w:rFonts w:cstheme="minorHAnsi"/>
        </w:rPr>
        <w:t>daljnje izvršenje očekuje u tijeku</w:t>
      </w:r>
      <w:r w:rsidR="002F32C6" w:rsidRPr="002F32C6">
        <w:rPr>
          <w:rFonts w:cstheme="minorHAnsi"/>
        </w:rPr>
        <w:t xml:space="preserve"> 2026. godine.</w:t>
      </w:r>
    </w:p>
    <w:p w14:paraId="45973F00" w14:textId="28CFDAE5" w:rsidR="0025071A" w:rsidRDefault="007834FD" w:rsidP="0025071A">
      <w:pPr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>Program gradnje cesta obuhvaća programske aktivnosti građenje cesta i projektiranje</w:t>
      </w:r>
      <w:r w:rsidR="0025071A">
        <w:rPr>
          <w:rFonts w:cstheme="minorHAnsi"/>
        </w:rPr>
        <w:t xml:space="preserve"> čija </w:t>
      </w:r>
      <w:r w:rsidR="0049721A">
        <w:rPr>
          <w:rFonts w:cstheme="minorHAnsi"/>
        </w:rPr>
        <w:t xml:space="preserve">su </w:t>
      </w:r>
      <w:r w:rsidR="0025071A">
        <w:rPr>
          <w:rFonts w:cstheme="minorHAnsi"/>
        </w:rPr>
        <w:t>utrošena s</w:t>
      </w:r>
      <w:r w:rsidR="0049721A">
        <w:rPr>
          <w:rFonts w:cstheme="minorHAnsi"/>
        </w:rPr>
        <w:t>redstva</w:t>
      </w:r>
      <w:r w:rsidR="0025071A" w:rsidRPr="009859CA">
        <w:rPr>
          <w:rFonts w:cstheme="minorHAnsi"/>
        </w:rPr>
        <w:t xml:space="preserve"> </w:t>
      </w:r>
      <w:r w:rsidR="0025071A">
        <w:rPr>
          <w:rFonts w:cstheme="minorHAnsi"/>
        </w:rPr>
        <w:t>prikazana</w:t>
      </w:r>
      <w:r w:rsidR="00CF31CC">
        <w:rPr>
          <w:rFonts w:cstheme="minorHAnsi"/>
        </w:rPr>
        <w:t xml:space="preserve"> u tablicama koje</w:t>
      </w:r>
      <w:r w:rsidR="0025071A" w:rsidRPr="009859CA">
        <w:rPr>
          <w:rFonts w:cstheme="minorHAnsi"/>
        </w:rPr>
        <w:t xml:space="preserve"> slijed</w:t>
      </w:r>
      <w:r w:rsidR="00CF31CC">
        <w:rPr>
          <w:rFonts w:cstheme="minorHAnsi"/>
        </w:rPr>
        <w:t>e</w:t>
      </w:r>
      <w:r w:rsidR="0025071A" w:rsidRPr="009859CA">
        <w:rPr>
          <w:rFonts w:cstheme="minorHAnsi"/>
        </w:rPr>
        <w:t>:</w:t>
      </w:r>
    </w:p>
    <w:p w14:paraId="69937EA3" w14:textId="6D4FFBED" w:rsidR="0025071A" w:rsidRPr="0025071A" w:rsidRDefault="0025071A" w:rsidP="0025071A">
      <w:pPr>
        <w:pStyle w:val="Opisslike"/>
        <w:keepNext/>
        <w:rPr>
          <w:i w:val="0"/>
          <w:color w:val="222A35" w:themeColor="text2" w:themeShade="80"/>
          <w:sz w:val="22"/>
          <w:szCs w:val="22"/>
        </w:rPr>
      </w:pPr>
      <w:bookmarkStart w:id="67" w:name="_Toc224047020"/>
      <w:r w:rsidRPr="0025071A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25071A">
        <w:rPr>
          <w:i w:val="0"/>
          <w:color w:val="222A35" w:themeColor="text2" w:themeShade="80"/>
          <w:sz w:val="22"/>
          <w:szCs w:val="22"/>
        </w:rPr>
        <w:fldChar w:fldCharType="begin"/>
      </w:r>
      <w:r w:rsidRPr="0025071A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25071A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20</w:t>
      </w:r>
      <w:r w:rsidRPr="0025071A">
        <w:rPr>
          <w:i w:val="0"/>
          <w:color w:val="222A35" w:themeColor="text2" w:themeShade="80"/>
          <w:sz w:val="22"/>
          <w:szCs w:val="22"/>
        </w:rPr>
        <w:fldChar w:fldCharType="end"/>
      </w:r>
      <w:r w:rsidR="00FD02D7">
        <w:rPr>
          <w:i w:val="0"/>
          <w:color w:val="222A35" w:themeColor="text2" w:themeShade="80"/>
          <w:sz w:val="22"/>
          <w:szCs w:val="22"/>
        </w:rPr>
        <w:t>. Izvršenje Programa 1004</w:t>
      </w:r>
      <w:r w:rsidRPr="0025071A">
        <w:rPr>
          <w:i w:val="0"/>
          <w:color w:val="222A35" w:themeColor="text2" w:themeShade="80"/>
          <w:sz w:val="22"/>
          <w:szCs w:val="22"/>
        </w:rPr>
        <w:t xml:space="preserve">: </w:t>
      </w:r>
      <w:r w:rsidR="00FD02D7">
        <w:rPr>
          <w:i w:val="0"/>
          <w:color w:val="222A35" w:themeColor="text2" w:themeShade="80"/>
          <w:sz w:val="22"/>
          <w:szCs w:val="22"/>
        </w:rPr>
        <w:t>Gradnja</w:t>
      </w:r>
      <w:r w:rsidRPr="0025071A">
        <w:rPr>
          <w:i w:val="0"/>
          <w:color w:val="222A35" w:themeColor="text2" w:themeShade="80"/>
          <w:sz w:val="22"/>
          <w:szCs w:val="22"/>
        </w:rPr>
        <w:t xml:space="preserve"> cesta u 2025. godini</w:t>
      </w:r>
      <w:bookmarkEnd w:id="67"/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1560"/>
        <w:gridCol w:w="1417"/>
        <w:gridCol w:w="1400"/>
        <w:gridCol w:w="719"/>
        <w:gridCol w:w="706"/>
      </w:tblGrid>
      <w:tr w:rsidR="0025071A" w:rsidRPr="0025071A" w14:paraId="19B17F40" w14:textId="77777777" w:rsidTr="003F7D58">
        <w:trPr>
          <w:trHeight w:val="480"/>
          <w:jc w:val="center"/>
        </w:trPr>
        <w:tc>
          <w:tcPr>
            <w:tcW w:w="4111" w:type="dxa"/>
            <w:shd w:val="clear" w:color="000000" w:fill="DDEBF7"/>
            <w:noWrap/>
            <w:vAlign w:val="center"/>
            <w:hideMark/>
          </w:tcPr>
          <w:p w14:paraId="5F92E42E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Brojčana oznaka i naziv </w:t>
            </w:r>
          </w:p>
        </w:tc>
        <w:tc>
          <w:tcPr>
            <w:tcW w:w="1560" w:type="dxa"/>
            <w:shd w:val="clear" w:color="000000" w:fill="DDEBF7"/>
            <w:vAlign w:val="center"/>
            <w:hideMark/>
          </w:tcPr>
          <w:p w14:paraId="2148AC54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1417" w:type="dxa"/>
            <w:shd w:val="clear" w:color="000000" w:fill="DDEBF7"/>
            <w:vAlign w:val="center"/>
            <w:hideMark/>
          </w:tcPr>
          <w:p w14:paraId="7C07D067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Izvorni plan </w:t>
            </w: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1400" w:type="dxa"/>
            <w:shd w:val="clear" w:color="000000" w:fill="DDEBF7"/>
            <w:vAlign w:val="center"/>
            <w:hideMark/>
          </w:tcPr>
          <w:p w14:paraId="52D300F8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719" w:type="dxa"/>
            <w:shd w:val="clear" w:color="000000" w:fill="DDEBF7"/>
            <w:vAlign w:val="center"/>
            <w:hideMark/>
          </w:tcPr>
          <w:p w14:paraId="03D9062F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4./2. </w:t>
            </w:r>
          </w:p>
        </w:tc>
        <w:tc>
          <w:tcPr>
            <w:tcW w:w="706" w:type="dxa"/>
            <w:shd w:val="clear" w:color="000000" w:fill="DDEBF7"/>
            <w:vAlign w:val="center"/>
            <w:hideMark/>
          </w:tcPr>
          <w:p w14:paraId="37CEF59E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Indeks </w:t>
            </w: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4./3. </w:t>
            </w:r>
          </w:p>
        </w:tc>
      </w:tr>
      <w:tr w:rsidR="0025071A" w:rsidRPr="0025071A" w14:paraId="72B21EA2" w14:textId="77777777" w:rsidTr="003F7D58">
        <w:trPr>
          <w:trHeight w:val="70"/>
          <w:jc w:val="center"/>
        </w:trPr>
        <w:tc>
          <w:tcPr>
            <w:tcW w:w="4111" w:type="dxa"/>
            <w:shd w:val="clear" w:color="000000" w:fill="DDEBF7"/>
            <w:noWrap/>
            <w:vAlign w:val="center"/>
            <w:hideMark/>
          </w:tcPr>
          <w:p w14:paraId="496B6D5A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1560" w:type="dxa"/>
            <w:shd w:val="clear" w:color="000000" w:fill="DDEBF7"/>
            <w:noWrap/>
            <w:vAlign w:val="center"/>
            <w:hideMark/>
          </w:tcPr>
          <w:p w14:paraId="394EEAE4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1417" w:type="dxa"/>
            <w:shd w:val="clear" w:color="000000" w:fill="DDEBF7"/>
            <w:noWrap/>
            <w:vAlign w:val="center"/>
            <w:hideMark/>
          </w:tcPr>
          <w:p w14:paraId="2395F476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1400" w:type="dxa"/>
            <w:shd w:val="clear" w:color="000000" w:fill="DDEBF7"/>
            <w:noWrap/>
            <w:vAlign w:val="center"/>
            <w:hideMark/>
          </w:tcPr>
          <w:p w14:paraId="4AD01F38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719" w:type="dxa"/>
            <w:shd w:val="clear" w:color="000000" w:fill="DDEBF7"/>
            <w:noWrap/>
            <w:vAlign w:val="center"/>
            <w:hideMark/>
          </w:tcPr>
          <w:p w14:paraId="2D4A84B5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706" w:type="dxa"/>
            <w:shd w:val="clear" w:color="000000" w:fill="DDEBF7"/>
            <w:noWrap/>
            <w:vAlign w:val="center"/>
            <w:hideMark/>
          </w:tcPr>
          <w:p w14:paraId="1ED1D3AC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</w:tr>
      <w:tr w:rsidR="0025071A" w:rsidRPr="0025071A" w14:paraId="53D1BE5B" w14:textId="77777777" w:rsidTr="003F7D58">
        <w:trPr>
          <w:trHeight w:val="283"/>
          <w:jc w:val="center"/>
        </w:trPr>
        <w:tc>
          <w:tcPr>
            <w:tcW w:w="4111" w:type="dxa"/>
            <w:shd w:val="clear" w:color="000000" w:fill="BDD7EE"/>
            <w:vAlign w:val="center"/>
            <w:hideMark/>
          </w:tcPr>
          <w:p w14:paraId="364E330D" w14:textId="77777777" w:rsidR="0025071A" w:rsidRPr="0025071A" w:rsidRDefault="0025071A" w:rsidP="002507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Program: 1004 GRADNJA CESTA</w:t>
            </w:r>
          </w:p>
        </w:tc>
        <w:tc>
          <w:tcPr>
            <w:tcW w:w="1560" w:type="dxa"/>
            <w:shd w:val="clear" w:color="000000" w:fill="BDD7EE"/>
            <w:vAlign w:val="center"/>
            <w:hideMark/>
          </w:tcPr>
          <w:p w14:paraId="7109397C" w14:textId="77777777" w:rsidR="0025071A" w:rsidRPr="0025071A" w:rsidRDefault="0025071A" w:rsidP="0025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952.317,46</w:t>
            </w:r>
          </w:p>
        </w:tc>
        <w:tc>
          <w:tcPr>
            <w:tcW w:w="1417" w:type="dxa"/>
            <w:shd w:val="clear" w:color="000000" w:fill="BDD7EE"/>
            <w:vAlign w:val="center"/>
            <w:hideMark/>
          </w:tcPr>
          <w:p w14:paraId="09EF39FE" w14:textId="77777777" w:rsidR="0025071A" w:rsidRPr="0025071A" w:rsidRDefault="0025071A" w:rsidP="0025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4.071.088,52</w:t>
            </w:r>
          </w:p>
        </w:tc>
        <w:tc>
          <w:tcPr>
            <w:tcW w:w="1400" w:type="dxa"/>
            <w:shd w:val="clear" w:color="000000" w:fill="BDD7EE"/>
            <w:vAlign w:val="center"/>
            <w:hideMark/>
          </w:tcPr>
          <w:p w14:paraId="39908723" w14:textId="77777777" w:rsidR="0025071A" w:rsidRPr="0025071A" w:rsidRDefault="0025071A" w:rsidP="0025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2.882.245,85</w:t>
            </w:r>
          </w:p>
        </w:tc>
        <w:tc>
          <w:tcPr>
            <w:tcW w:w="719" w:type="dxa"/>
            <w:shd w:val="clear" w:color="000000" w:fill="BDD7EE"/>
            <w:vAlign w:val="center"/>
            <w:hideMark/>
          </w:tcPr>
          <w:p w14:paraId="789D1697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302,66</w:t>
            </w:r>
          </w:p>
        </w:tc>
        <w:tc>
          <w:tcPr>
            <w:tcW w:w="706" w:type="dxa"/>
            <w:shd w:val="clear" w:color="000000" w:fill="BDD7EE"/>
            <w:vAlign w:val="center"/>
            <w:hideMark/>
          </w:tcPr>
          <w:p w14:paraId="3D7886A2" w14:textId="77777777" w:rsidR="0025071A" w:rsidRPr="0025071A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071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70,80</w:t>
            </w:r>
          </w:p>
        </w:tc>
      </w:tr>
      <w:tr w:rsidR="0025071A" w:rsidRPr="001737C0" w14:paraId="3F157FB0" w14:textId="77777777" w:rsidTr="003F7D58">
        <w:trPr>
          <w:trHeight w:val="283"/>
          <w:jc w:val="center"/>
        </w:trPr>
        <w:tc>
          <w:tcPr>
            <w:tcW w:w="4111" w:type="dxa"/>
            <w:shd w:val="clear" w:color="000000" w:fill="FFFFFF"/>
            <w:vAlign w:val="center"/>
            <w:hideMark/>
          </w:tcPr>
          <w:p w14:paraId="30808A2B" w14:textId="77777777" w:rsidR="0025071A" w:rsidRPr="001737C0" w:rsidRDefault="0025071A" w:rsidP="0025071A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</w:pPr>
            <w:r w:rsidRPr="001737C0"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  <w:t>K 100401 GRAĐENJE CESTA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4E4156AE" w14:textId="77777777" w:rsidR="0025071A" w:rsidRPr="001737C0" w:rsidRDefault="0025071A" w:rsidP="0025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</w:pPr>
            <w:r w:rsidRPr="001737C0"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  <w:t>782.478,21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3BA740DB" w14:textId="77777777" w:rsidR="0025071A" w:rsidRPr="001737C0" w:rsidRDefault="0025071A" w:rsidP="0025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</w:pPr>
            <w:r w:rsidRPr="001737C0"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  <w:t>3.808.281,37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1A6FDDC3" w14:textId="77777777" w:rsidR="0025071A" w:rsidRPr="001737C0" w:rsidRDefault="0025071A" w:rsidP="0025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</w:pPr>
            <w:r w:rsidRPr="001737C0"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  <w:t>2.793.025,10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509B5143" w14:textId="77777777" w:rsidR="0025071A" w:rsidRPr="001737C0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</w:pPr>
            <w:r w:rsidRPr="001737C0"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  <w:t>356,95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718965DB" w14:textId="77777777" w:rsidR="0025071A" w:rsidRPr="001737C0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737C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73,34</w:t>
            </w:r>
          </w:p>
        </w:tc>
      </w:tr>
      <w:tr w:rsidR="0025071A" w:rsidRPr="001737C0" w14:paraId="3A813311" w14:textId="77777777" w:rsidTr="003F7D58">
        <w:trPr>
          <w:trHeight w:val="283"/>
          <w:jc w:val="center"/>
        </w:trPr>
        <w:tc>
          <w:tcPr>
            <w:tcW w:w="4111" w:type="dxa"/>
            <w:shd w:val="clear" w:color="000000" w:fill="FFFFFF"/>
            <w:vAlign w:val="center"/>
            <w:hideMark/>
          </w:tcPr>
          <w:p w14:paraId="36D069F7" w14:textId="77777777" w:rsidR="0025071A" w:rsidRPr="001737C0" w:rsidRDefault="0025071A" w:rsidP="0025071A">
            <w:pPr>
              <w:spacing w:after="0" w:line="240" w:lineRule="auto"/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</w:pPr>
            <w:r w:rsidRPr="001737C0"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  <w:t>K 100405 PROJEKTIRANJE</w:t>
            </w:r>
          </w:p>
        </w:tc>
        <w:tc>
          <w:tcPr>
            <w:tcW w:w="1560" w:type="dxa"/>
            <w:shd w:val="clear" w:color="000000" w:fill="FFFFFF"/>
            <w:vAlign w:val="center"/>
            <w:hideMark/>
          </w:tcPr>
          <w:p w14:paraId="747DF933" w14:textId="77777777" w:rsidR="0025071A" w:rsidRPr="001737C0" w:rsidRDefault="0025071A" w:rsidP="0025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</w:pPr>
            <w:r w:rsidRPr="001737C0"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  <w:t>169.839,25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1FCE1CE1" w14:textId="77777777" w:rsidR="0025071A" w:rsidRPr="001737C0" w:rsidRDefault="0025071A" w:rsidP="0025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</w:pPr>
            <w:r w:rsidRPr="001737C0"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  <w:t>262.807,15</w:t>
            </w:r>
          </w:p>
        </w:tc>
        <w:tc>
          <w:tcPr>
            <w:tcW w:w="1400" w:type="dxa"/>
            <w:shd w:val="clear" w:color="000000" w:fill="FFFFFF"/>
            <w:vAlign w:val="center"/>
            <w:hideMark/>
          </w:tcPr>
          <w:p w14:paraId="4136A740" w14:textId="77777777" w:rsidR="0025071A" w:rsidRPr="001737C0" w:rsidRDefault="0025071A" w:rsidP="002507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</w:pPr>
            <w:r w:rsidRPr="001737C0"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  <w:t>89.220,75</w:t>
            </w:r>
          </w:p>
        </w:tc>
        <w:tc>
          <w:tcPr>
            <w:tcW w:w="719" w:type="dxa"/>
            <w:shd w:val="clear" w:color="000000" w:fill="FFFFFF"/>
            <w:vAlign w:val="center"/>
            <w:hideMark/>
          </w:tcPr>
          <w:p w14:paraId="68BB0EF9" w14:textId="77777777" w:rsidR="0025071A" w:rsidRPr="001737C0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</w:pPr>
            <w:r w:rsidRPr="001737C0">
              <w:rPr>
                <w:rFonts w:ascii="Calibri" w:eastAsia="Times New Roman" w:hAnsi="Calibri" w:cs="Calibri"/>
                <w:bCs/>
                <w:sz w:val="18"/>
                <w:szCs w:val="18"/>
                <w:lang w:eastAsia="hr-HR"/>
              </w:rPr>
              <w:t>52,53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14:paraId="6B3A66A8" w14:textId="77777777" w:rsidR="0025071A" w:rsidRPr="001737C0" w:rsidRDefault="0025071A" w:rsidP="00250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737C0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33,95</w:t>
            </w:r>
          </w:p>
        </w:tc>
      </w:tr>
    </w:tbl>
    <w:p w14:paraId="0B544ACC" w14:textId="638D5B17" w:rsidR="003658FB" w:rsidRDefault="000632DD" w:rsidP="007834FD">
      <w:pPr>
        <w:pStyle w:val="Opisslike"/>
        <w:keepNext/>
        <w:spacing w:before="120" w:after="120"/>
        <w:rPr>
          <w:i w:val="0"/>
          <w:color w:val="222A35" w:themeColor="text2" w:themeShade="80"/>
          <w:sz w:val="22"/>
          <w:szCs w:val="22"/>
        </w:rPr>
      </w:pPr>
      <w:bookmarkStart w:id="68" w:name="_Toc135120995"/>
      <w:bookmarkStart w:id="69" w:name="_Toc224047021"/>
      <w:r w:rsidRPr="002308A7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begin"/>
      </w:r>
      <w:r w:rsidRPr="002308A7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2308A7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21</w:t>
      </w:r>
      <w:r w:rsidRPr="002308A7">
        <w:rPr>
          <w:i w:val="0"/>
          <w:color w:val="222A35" w:themeColor="text2" w:themeShade="80"/>
          <w:sz w:val="22"/>
          <w:szCs w:val="22"/>
        </w:rPr>
        <w:fldChar w:fldCharType="end"/>
      </w:r>
      <w:r w:rsidR="00E644AA" w:rsidRPr="002308A7">
        <w:rPr>
          <w:i w:val="0"/>
          <w:color w:val="222A35" w:themeColor="text2" w:themeShade="80"/>
          <w:sz w:val="22"/>
          <w:szCs w:val="22"/>
        </w:rPr>
        <w:t>.</w:t>
      </w:r>
      <w:r w:rsidR="003F7D58">
        <w:rPr>
          <w:i w:val="0"/>
          <w:color w:val="222A35" w:themeColor="text2" w:themeShade="80"/>
          <w:sz w:val="22"/>
          <w:szCs w:val="22"/>
        </w:rPr>
        <w:t xml:space="preserve"> K 100401</w:t>
      </w:r>
      <w:r w:rsidR="00E644AA" w:rsidRPr="002308A7">
        <w:rPr>
          <w:i w:val="0"/>
          <w:color w:val="222A35" w:themeColor="text2" w:themeShade="80"/>
          <w:sz w:val="22"/>
          <w:szCs w:val="22"/>
        </w:rPr>
        <w:t xml:space="preserve"> </w:t>
      </w:r>
      <w:r w:rsidR="003F7D58">
        <w:rPr>
          <w:i w:val="0"/>
          <w:color w:val="222A35" w:themeColor="text2" w:themeShade="80"/>
          <w:sz w:val="22"/>
          <w:szCs w:val="22"/>
        </w:rPr>
        <w:t>Građenje</w:t>
      </w:r>
      <w:r w:rsidR="009D0E1D">
        <w:rPr>
          <w:i w:val="0"/>
          <w:color w:val="222A35" w:themeColor="text2" w:themeShade="80"/>
          <w:sz w:val="22"/>
          <w:szCs w:val="22"/>
        </w:rPr>
        <w:t xml:space="preserve"> </w:t>
      </w:r>
      <w:r w:rsidRPr="002308A7">
        <w:rPr>
          <w:i w:val="0"/>
          <w:color w:val="222A35" w:themeColor="text2" w:themeShade="80"/>
          <w:sz w:val="22"/>
          <w:szCs w:val="22"/>
        </w:rPr>
        <w:t>cesta</w:t>
      </w:r>
      <w:bookmarkEnd w:id="68"/>
      <w:bookmarkEnd w:id="69"/>
    </w:p>
    <w:tbl>
      <w:tblPr>
        <w:tblW w:w="9840" w:type="dxa"/>
        <w:jc w:val="center"/>
        <w:tblLook w:val="04A0" w:firstRow="1" w:lastRow="0" w:firstColumn="1" w:lastColumn="0" w:noHBand="0" w:noVBand="1"/>
      </w:tblPr>
      <w:tblGrid>
        <w:gridCol w:w="762"/>
        <w:gridCol w:w="1480"/>
        <w:gridCol w:w="3715"/>
        <w:gridCol w:w="761"/>
        <w:gridCol w:w="1224"/>
        <w:gridCol w:w="1180"/>
        <w:gridCol w:w="718"/>
      </w:tblGrid>
      <w:tr w:rsidR="003F7D58" w:rsidRPr="003F7D58" w14:paraId="12707922" w14:textId="77777777" w:rsidTr="00BF589A">
        <w:trPr>
          <w:trHeight w:val="720"/>
          <w:tblHeader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F89B79A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Broj </w:t>
            </w: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ceste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5567A8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Dionica/</w:t>
            </w: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lokacija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769AA1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170369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Duljina </w:t>
            </w: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dionice </w:t>
            </w: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km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EA7C6E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B46505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946195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3F7D58" w:rsidRPr="003F7D58" w14:paraId="269977FF" w14:textId="77777777" w:rsidTr="00BF589A">
        <w:trPr>
          <w:trHeight w:val="283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C552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CEED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Viškovo </w:t>
            </w: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br/>
              <w:t>ŽC5021-Vrtni centar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48EB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Rekonstrukcija ceste s kompletnom infrastrukturom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2BA5" w14:textId="6F3B8AAD" w:rsidR="003F7D58" w:rsidRPr="003F7D58" w:rsidRDefault="00006BBF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55B2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132.722,81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780F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132.722,81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D4F4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F7D58" w:rsidRPr="003F7D58" w14:paraId="17872FAE" w14:textId="77777777" w:rsidTr="00BF589A">
        <w:trPr>
          <w:trHeight w:val="283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D45EE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0A28F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Vozišće-Mavri</w:t>
            </w:r>
            <w:proofErr w:type="spellEnd"/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45C0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Rekonstrukcija ceste s kompletnom infrastrukturom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D60E" w14:textId="3FCACAA9" w:rsidR="003F7D58" w:rsidRPr="003F7D58" w:rsidRDefault="00006BBF" w:rsidP="0000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1A1F1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267.000,00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5FA4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267.000,00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B5D2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F7D58" w:rsidRPr="003F7D58" w14:paraId="68BE7135" w14:textId="77777777" w:rsidTr="00BF589A">
        <w:trPr>
          <w:trHeight w:val="283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F077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DF4C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Kuželj</w:t>
            </w:r>
            <w:proofErr w:type="spellEnd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Grbajel</w:t>
            </w:r>
            <w:proofErr w:type="spellEnd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-Guče Selo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26D3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dijela županijske ceste ŽC 5033 - izmicanje postojeće dionice izvan naselja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39AF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2,400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7978F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2.427.129,35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E3080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1.413.513,05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798A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58,24</w:t>
            </w:r>
          </w:p>
        </w:tc>
      </w:tr>
      <w:tr w:rsidR="003F7D58" w:rsidRPr="003F7D58" w14:paraId="2FE186C4" w14:textId="77777777" w:rsidTr="00BF589A">
        <w:trPr>
          <w:trHeight w:val="283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9E26E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0908C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Šilo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04A1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Rekonstrukcija dijela ceste si oborinske odvodnje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C700D" w14:textId="5DE50B7F" w:rsidR="003F7D58" w:rsidRPr="003F7D58" w:rsidRDefault="00006BBF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37B36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376.303,20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B451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374.663,23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437E8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99,56</w:t>
            </w:r>
          </w:p>
        </w:tc>
      </w:tr>
      <w:tr w:rsidR="00006BBF" w:rsidRPr="003F7D58" w14:paraId="0FFD4C75" w14:textId="77777777" w:rsidTr="00BF589A">
        <w:trPr>
          <w:trHeight w:val="283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CB9D" w14:textId="77777777" w:rsidR="00006BBF" w:rsidRPr="003F7D58" w:rsidRDefault="00006BBF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F5200" w14:textId="77777777" w:rsidR="00006BBF" w:rsidRPr="003F7D58" w:rsidRDefault="00006BBF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Lopar DC 105-turističko naselje San Marino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AF88" w14:textId="77777777" w:rsidR="00006BBF" w:rsidRPr="003F7D58" w:rsidRDefault="00006BBF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rekonstrukcije – proširenja ceste</w:t>
            </w:r>
          </w:p>
        </w:tc>
        <w:tc>
          <w:tcPr>
            <w:tcW w:w="7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FAC9A" w14:textId="3F77224B" w:rsidR="00006BBF" w:rsidRPr="003F7D58" w:rsidRDefault="00006BBF" w:rsidP="00006B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0,860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D72A1" w14:textId="77777777" w:rsidR="00006BBF" w:rsidRPr="003F7D58" w:rsidRDefault="00006BBF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71.937,49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466F" w14:textId="77777777" w:rsidR="00006BBF" w:rsidRPr="003F7D58" w:rsidRDefault="00006BBF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71.937,49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1CFCB" w14:textId="77777777" w:rsidR="00006BBF" w:rsidRPr="003F7D58" w:rsidRDefault="00006BBF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006BBF" w:rsidRPr="003F7D58" w14:paraId="4AB0BD1C" w14:textId="77777777" w:rsidTr="00BF589A">
        <w:trPr>
          <w:trHeight w:val="283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D057" w14:textId="77777777" w:rsidR="00006BBF" w:rsidRPr="003F7D58" w:rsidRDefault="00006BBF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ŽC5138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7570C" w14:textId="77777777" w:rsidR="00006BBF" w:rsidRPr="003F7D58" w:rsidRDefault="00006BBF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Lopar DC 105-turističko naselje San Marino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3F1B" w14:textId="77777777" w:rsidR="00006BBF" w:rsidRPr="003F7D58" w:rsidRDefault="00006BBF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rekonstrukcije – proširenja ceste</w:t>
            </w:r>
          </w:p>
        </w:tc>
        <w:tc>
          <w:tcPr>
            <w:tcW w:w="7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96D2" w14:textId="411EEEC8" w:rsidR="00006BBF" w:rsidRPr="003F7D58" w:rsidRDefault="00006BBF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ECFFB" w14:textId="77777777" w:rsidR="00006BBF" w:rsidRPr="003F7D58" w:rsidRDefault="00006BBF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533.188,52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D9F62" w14:textId="77777777" w:rsidR="00006BBF" w:rsidRPr="003F7D58" w:rsidRDefault="00006BBF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533.188,52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84C38" w14:textId="77777777" w:rsidR="00006BBF" w:rsidRPr="003F7D58" w:rsidRDefault="00006BBF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F7D58" w:rsidRPr="003F7D58" w14:paraId="680FAE3B" w14:textId="77777777" w:rsidTr="00BF589A">
        <w:trPr>
          <w:trHeight w:val="283"/>
          <w:jc w:val="center"/>
        </w:trPr>
        <w:tc>
          <w:tcPr>
            <w:tcW w:w="5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53C0EC" w14:textId="1A02BE90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GRAĐENJE</w:t>
            </w: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 CESTA UKUPNO 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1D1CAA" w14:textId="3C5F9262" w:rsidR="003F7D58" w:rsidRPr="003F7D58" w:rsidRDefault="00006BBF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4,310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0E17436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3.808.281,37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433F5E9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2.793.025,10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86DD1A0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73,34</w:t>
            </w:r>
          </w:p>
        </w:tc>
      </w:tr>
    </w:tbl>
    <w:p w14:paraId="3370EBD9" w14:textId="464BC33A" w:rsidR="00BD2DB1" w:rsidRDefault="00BD2DB1" w:rsidP="00BD2DB1">
      <w:pPr>
        <w:pStyle w:val="Opisslike"/>
        <w:keepNext/>
        <w:spacing w:before="120" w:after="120"/>
        <w:rPr>
          <w:i w:val="0"/>
          <w:color w:val="222A35" w:themeColor="text2" w:themeShade="80"/>
          <w:sz w:val="22"/>
          <w:szCs w:val="22"/>
        </w:rPr>
      </w:pPr>
      <w:bookmarkStart w:id="70" w:name="_Toc224047022"/>
      <w:r w:rsidRPr="00BD2DB1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BD2DB1">
        <w:rPr>
          <w:i w:val="0"/>
          <w:color w:val="222A35" w:themeColor="text2" w:themeShade="80"/>
          <w:sz w:val="22"/>
          <w:szCs w:val="22"/>
        </w:rPr>
        <w:fldChar w:fldCharType="begin"/>
      </w:r>
      <w:r w:rsidRPr="00BD2DB1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BD2DB1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22</w:t>
      </w:r>
      <w:r w:rsidRPr="00BD2DB1">
        <w:rPr>
          <w:i w:val="0"/>
          <w:color w:val="222A35" w:themeColor="text2" w:themeShade="80"/>
          <w:sz w:val="22"/>
          <w:szCs w:val="22"/>
        </w:rPr>
        <w:fldChar w:fldCharType="end"/>
      </w:r>
      <w:r w:rsidRPr="00BD2DB1">
        <w:rPr>
          <w:i w:val="0"/>
          <w:color w:val="222A35" w:themeColor="text2" w:themeShade="80"/>
          <w:sz w:val="22"/>
          <w:szCs w:val="22"/>
        </w:rPr>
        <w:t xml:space="preserve">. </w:t>
      </w:r>
      <w:r w:rsidR="003F7D58">
        <w:rPr>
          <w:i w:val="0"/>
          <w:color w:val="222A35" w:themeColor="text2" w:themeShade="80"/>
          <w:sz w:val="22"/>
          <w:szCs w:val="22"/>
        </w:rPr>
        <w:t xml:space="preserve">K 100405 </w:t>
      </w:r>
      <w:r w:rsidRPr="00BD2DB1">
        <w:rPr>
          <w:i w:val="0"/>
          <w:color w:val="222A35" w:themeColor="text2" w:themeShade="80"/>
          <w:sz w:val="22"/>
          <w:szCs w:val="22"/>
        </w:rPr>
        <w:t>Projektiranje</w:t>
      </w:r>
      <w:bookmarkEnd w:id="70"/>
    </w:p>
    <w:tbl>
      <w:tblPr>
        <w:tblW w:w="10001" w:type="dxa"/>
        <w:jc w:val="center"/>
        <w:tblLook w:val="04A0" w:firstRow="1" w:lastRow="0" w:firstColumn="1" w:lastColumn="0" w:noHBand="0" w:noVBand="1"/>
      </w:tblPr>
      <w:tblGrid>
        <w:gridCol w:w="846"/>
        <w:gridCol w:w="1417"/>
        <w:gridCol w:w="4919"/>
        <w:gridCol w:w="1041"/>
        <w:gridCol w:w="1060"/>
        <w:gridCol w:w="718"/>
      </w:tblGrid>
      <w:tr w:rsidR="003F7D58" w:rsidRPr="003F7D58" w14:paraId="0109103C" w14:textId="77777777" w:rsidTr="003F7D58">
        <w:trPr>
          <w:trHeight w:val="48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48FC649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Broj </w:t>
            </w: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ceste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B69D16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Dionica/</w:t>
            </w: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lokacija</w:t>
            </w:r>
          </w:p>
        </w:tc>
        <w:tc>
          <w:tcPr>
            <w:tcW w:w="4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B5222B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ECA8E8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Izvorni plan 2025.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18AB97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 2025.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7B9B7E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Indeks</w:t>
            </w:r>
          </w:p>
        </w:tc>
      </w:tr>
      <w:tr w:rsidR="003F7D58" w:rsidRPr="003F7D58" w14:paraId="0F7349DE" w14:textId="77777777" w:rsidTr="003F7D58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09102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D0F2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Breza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7A356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idejnog projekta ceste sa ishođenjem lokacijske dozvole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08C2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F7AF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9.950,00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BC0E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39,80</w:t>
            </w:r>
          </w:p>
        </w:tc>
      </w:tr>
      <w:tr w:rsidR="003F7D58" w:rsidRPr="003F7D58" w14:paraId="6940189E" w14:textId="77777777" w:rsidTr="003F7D58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588E3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151FF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Zastenice</w:t>
            </w:r>
            <w:proofErr w:type="spellEnd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-Dražice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5BD6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idejnog projekta ceste, nogostupa i biciklističke staze u dužnici 1500 m sa ishođenjem lokacijske dozvole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6DD0F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32.500,00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6AC2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53F2" w14:textId="49C26189" w:rsidR="003F7D58" w:rsidRPr="003F7D58" w:rsidRDefault="00BC6B2C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F7D58" w:rsidRPr="003F7D58" w14:paraId="67DC8487" w14:textId="77777777" w:rsidTr="003F7D58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5DF5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63CF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Zaglav</w:t>
            </w:r>
            <w:proofErr w:type="spellEnd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- Martinšćica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3D3F1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idejnog projekta rekonstrukcije ceste, oborinske odvodnje i nogostupa s ishođenjem lokacijske dozvole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692ED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F67CA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11.137,50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741F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42,84</w:t>
            </w:r>
          </w:p>
        </w:tc>
      </w:tr>
      <w:tr w:rsidR="003F7D58" w:rsidRPr="003F7D58" w14:paraId="5080F899" w14:textId="77777777" w:rsidTr="003F7D58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22E3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165D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Rešetari-</w:t>
            </w: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a.g</w:t>
            </w:r>
            <w:proofErr w:type="spellEnd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 Grad Rijeka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B498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Izrada izvedbenog projekta izgradnje dijela ceste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2F7A5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15.375,00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5946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14.750,00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48E39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95,93</w:t>
            </w:r>
          </w:p>
        </w:tc>
      </w:tr>
      <w:tr w:rsidR="003F7D58" w:rsidRPr="003F7D58" w14:paraId="5ADF3642" w14:textId="77777777" w:rsidTr="003F7D58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DE1E4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ŽC5206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DFA4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Rešetari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5B23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revizije izvedbenog projekta ceste i pješačkog mosta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C2F45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56F1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1.500,00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A0C1C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37,50</w:t>
            </w:r>
          </w:p>
        </w:tc>
      </w:tr>
      <w:tr w:rsidR="003F7D58" w:rsidRPr="003F7D58" w14:paraId="797A8799" w14:textId="77777777" w:rsidTr="003F7D58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62A2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ŽC5206/</w:t>
            </w: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br/>
              <w:t>ŽC5207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1C6D4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Rešetari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9505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glavnog projekta rekonstrukcije raskrižja u kružno raskrižje s ishođenjem građevinske dozvole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2D122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DE9FB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8.531,25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19DA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34,13</w:t>
            </w:r>
          </w:p>
        </w:tc>
      </w:tr>
      <w:tr w:rsidR="006950E4" w:rsidRPr="003F7D58" w14:paraId="0198436F" w14:textId="77777777" w:rsidTr="00BC6B2C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FCC1" w14:textId="77777777" w:rsidR="006950E4" w:rsidRPr="003F7D58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ŽC5219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D61D6" w14:textId="77777777" w:rsidR="006950E4" w:rsidRPr="003F7D58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Bribir-Gornji </w:t>
            </w: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Zagon</w:t>
            </w:r>
            <w:proofErr w:type="spellEnd"/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F33F9" w14:textId="77777777" w:rsidR="006950E4" w:rsidRPr="003F7D58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idejnog projekta faznog održavanja sanacije ceste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99A24" w14:textId="77777777" w:rsidR="006950E4" w:rsidRPr="003F7D58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33.125,00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4A3E" w14:textId="77777777" w:rsidR="006950E4" w:rsidRPr="003F7D58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C0D55" w14:textId="682C8157" w:rsidR="006950E4" w:rsidRPr="003F7D58" w:rsidRDefault="006950E4" w:rsidP="00BC6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1B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950E4" w:rsidRPr="003F7D58" w14:paraId="336ABFC5" w14:textId="77777777" w:rsidTr="00BC6B2C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ACBA" w14:textId="77777777" w:rsidR="006950E4" w:rsidRPr="003F7D58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22646" w14:textId="77777777" w:rsidR="006950E4" w:rsidRPr="003F7D58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Linardići</w:t>
            </w:r>
            <w:proofErr w:type="spellEnd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-Brzac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3468" w14:textId="77777777" w:rsidR="006950E4" w:rsidRPr="003F7D58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idejnog projekta s ishođenjem lokacijske dozvole za izgradnju spojne ceste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3FB1" w14:textId="77777777" w:rsidR="006950E4" w:rsidRPr="003F7D58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7.781,25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2ED6" w14:textId="77777777" w:rsidR="006950E4" w:rsidRPr="003F7D58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790CC" w14:textId="34B8554C" w:rsidR="006950E4" w:rsidRPr="003F7D58" w:rsidRDefault="006950E4" w:rsidP="00BC6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1B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6950E4" w:rsidRPr="003F7D58" w14:paraId="5D9D589E" w14:textId="77777777" w:rsidTr="00BC6B2C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C45B" w14:textId="77777777" w:rsidR="006950E4" w:rsidRPr="003F7D58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9E16" w14:textId="77777777" w:rsidR="006950E4" w:rsidRPr="003F7D58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Linardići</w:t>
            </w:r>
            <w:proofErr w:type="spellEnd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-Brzac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B9B0" w14:textId="77777777" w:rsidR="006950E4" w:rsidRPr="003F7D58" w:rsidRDefault="006950E4" w:rsidP="00695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elaborata zaštite okoliša za izgradnju nove spojne ceste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6CFB" w14:textId="77777777" w:rsidR="006950E4" w:rsidRPr="003F7D58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9D12" w14:textId="77777777" w:rsidR="006950E4" w:rsidRPr="003F7D58" w:rsidRDefault="006950E4" w:rsidP="006950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84BF" w14:textId="7056ABE4" w:rsidR="006950E4" w:rsidRPr="003F7D58" w:rsidRDefault="006950E4" w:rsidP="00BC6B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81B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F7D58" w:rsidRPr="003F7D58" w14:paraId="6EFCD5EB" w14:textId="77777777" w:rsidTr="003F7D58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D9F4E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5617B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Skrbčići</w:t>
            </w:r>
            <w:proofErr w:type="spellEnd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-Grad Krk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861F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idejnog projekta s ishođenjem lokacijske dozvole za izgradnju biciklističke staze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3650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25.375,00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FA036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23.250,00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208E9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91,63</w:t>
            </w:r>
          </w:p>
        </w:tc>
      </w:tr>
      <w:tr w:rsidR="003F7D58" w:rsidRPr="003F7D58" w14:paraId="7F3AB49F" w14:textId="77777777" w:rsidTr="003F7D58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77B33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EFDBC" w14:textId="77777777" w:rsid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Pinezići-</w:t>
            </w:r>
          </w:p>
          <w:p w14:paraId="582E43D8" w14:textId="529907C9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Krk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9A1A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idejnog projekta s ishođenjem lokacijske dozvole za izgradnju biciklističke staze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88C0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12.588,40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3F529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8.039,50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0F459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63,86</w:t>
            </w:r>
          </w:p>
        </w:tc>
      </w:tr>
      <w:tr w:rsidR="003F7D58" w:rsidRPr="003F7D58" w14:paraId="6AE1CB09" w14:textId="77777777" w:rsidTr="003F7D58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0441B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17B86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Osor-Matalda</w:t>
            </w:r>
            <w:proofErr w:type="spellEnd"/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CBAF7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idejnog projekta s ishođenjem lokacijske dozvole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7629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33.000,00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AFA55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25709" w14:textId="37B717E2" w:rsidR="003F7D58" w:rsidRPr="003F7D58" w:rsidRDefault="00BC6B2C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F7D58" w:rsidRPr="003F7D58" w14:paraId="20952222" w14:textId="77777777" w:rsidTr="003F7D58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6FF25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176B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Osor-Matalda</w:t>
            </w:r>
            <w:proofErr w:type="spellEnd"/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29C7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Geodetska podloga za izradu idejnog projekta rekonstrukcije ceste s izradom biciklističke staze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A331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9.750,00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E57DB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9.750,00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4A38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F7D58" w:rsidRPr="003F7D58" w14:paraId="4931E243" w14:textId="77777777" w:rsidTr="003F7D58">
        <w:trPr>
          <w:trHeight w:val="28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3963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45EF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 Bakar-Općina Čavle</w:t>
            </w:r>
          </w:p>
        </w:tc>
        <w:tc>
          <w:tcPr>
            <w:tcW w:w="4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8B9CB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Geodetska podloga za izradu idejnog projekta s ishođenjem lokacijske dozvole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5DA9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2.312,50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1016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2.312,50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E0DA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3F7D58" w:rsidRPr="003F7D58" w14:paraId="4315EEF3" w14:textId="77777777" w:rsidTr="003F7D58">
        <w:trPr>
          <w:trHeight w:val="283"/>
          <w:jc w:val="center"/>
        </w:trPr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9C200BB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PROJEKTIRANJE CESTA UKUPNO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2A2B7FC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262.807,15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7792545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89.220,75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D97C964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33,95</w:t>
            </w:r>
          </w:p>
        </w:tc>
      </w:tr>
    </w:tbl>
    <w:p w14:paraId="1A5F1A28" w14:textId="6ED87842" w:rsidR="002F684B" w:rsidRDefault="00D27FBD" w:rsidP="004316A2">
      <w:pPr>
        <w:spacing w:before="240" w:after="240" w:line="240" w:lineRule="auto"/>
        <w:jc w:val="both"/>
        <w:rPr>
          <w:rFonts w:eastAsia="Calibri" w:cs="Calibri"/>
        </w:rPr>
      </w:pPr>
      <w:r>
        <w:rPr>
          <w:rFonts w:eastAsia="Calibri" w:cs="Calibri"/>
        </w:rPr>
        <w:t xml:space="preserve">U tablici i grafikonu ispod prikazana su ukupna sredstva uložena u redovito održavanje, izvanredno održavanje i gradnju cesta u 2025. godini. </w:t>
      </w:r>
    </w:p>
    <w:p w14:paraId="2B958DFB" w14:textId="2AE2631C" w:rsidR="004316A2" w:rsidRPr="00333EA0" w:rsidRDefault="004316A2" w:rsidP="004316A2">
      <w:pPr>
        <w:pStyle w:val="Opisslike"/>
        <w:keepNext/>
        <w:spacing w:before="120" w:after="120"/>
        <w:ind w:left="1021" w:hanging="1021"/>
        <w:rPr>
          <w:i w:val="0"/>
          <w:color w:val="222A35" w:themeColor="text2" w:themeShade="80"/>
          <w:sz w:val="22"/>
          <w:szCs w:val="22"/>
        </w:rPr>
      </w:pPr>
      <w:bookmarkStart w:id="71" w:name="_Toc224047023"/>
      <w:r w:rsidRPr="00333EA0">
        <w:rPr>
          <w:i w:val="0"/>
          <w:color w:val="222A35" w:themeColor="text2" w:themeShade="80"/>
          <w:sz w:val="22"/>
          <w:szCs w:val="22"/>
        </w:rPr>
        <w:t xml:space="preserve">Tablica </w:t>
      </w:r>
      <w:r w:rsidRPr="00333EA0">
        <w:rPr>
          <w:i w:val="0"/>
          <w:color w:val="222A35" w:themeColor="text2" w:themeShade="80"/>
          <w:sz w:val="22"/>
          <w:szCs w:val="22"/>
        </w:rPr>
        <w:fldChar w:fldCharType="begin"/>
      </w:r>
      <w:r w:rsidRPr="00333EA0">
        <w:rPr>
          <w:i w:val="0"/>
          <w:color w:val="222A35" w:themeColor="text2" w:themeShade="80"/>
          <w:sz w:val="22"/>
          <w:szCs w:val="22"/>
        </w:rPr>
        <w:instrText xml:space="preserve"> SEQ Tablica \* ARABIC </w:instrText>
      </w:r>
      <w:r w:rsidRPr="00333EA0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23</w:t>
      </w:r>
      <w:r w:rsidRPr="00333EA0">
        <w:rPr>
          <w:i w:val="0"/>
          <w:color w:val="222A35" w:themeColor="text2" w:themeShade="80"/>
          <w:sz w:val="22"/>
          <w:szCs w:val="22"/>
        </w:rPr>
        <w:fldChar w:fldCharType="end"/>
      </w:r>
      <w:r w:rsidRPr="00333EA0">
        <w:rPr>
          <w:i w:val="0"/>
          <w:color w:val="222A35" w:themeColor="text2" w:themeShade="80"/>
          <w:sz w:val="22"/>
          <w:szCs w:val="22"/>
        </w:rPr>
        <w:t xml:space="preserve">. Ukupno uložena sredstva </w:t>
      </w:r>
      <w:r>
        <w:rPr>
          <w:i w:val="0"/>
          <w:color w:val="222A35" w:themeColor="text2" w:themeShade="80"/>
          <w:sz w:val="22"/>
          <w:szCs w:val="22"/>
        </w:rPr>
        <w:t xml:space="preserve">u ceste </w:t>
      </w:r>
      <w:r w:rsidRPr="00333EA0">
        <w:rPr>
          <w:i w:val="0"/>
          <w:color w:val="222A35" w:themeColor="text2" w:themeShade="80"/>
          <w:sz w:val="22"/>
          <w:szCs w:val="22"/>
        </w:rPr>
        <w:t xml:space="preserve">po vrsti </w:t>
      </w:r>
      <w:r>
        <w:rPr>
          <w:i w:val="0"/>
          <w:color w:val="222A35" w:themeColor="text2" w:themeShade="80"/>
          <w:sz w:val="22"/>
          <w:szCs w:val="22"/>
        </w:rPr>
        <w:t xml:space="preserve">programa </w:t>
      </w:r>
      <w:r w:rsidRPr="00333EA0">
        <w:rPr>
          <w:i w:val="0"/>
          <w:color w:val="222A35" w:themeColor="text2" w:themeShade="80"/>
          <w:sz w:val="22"/>
          <w:szCs w:val="22"/>
        </w:rPr>
        <w:t>u 2025. godini</w:t>
      </w:r>
      <w:bookmarkEnd w:id="71"/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7083"/>
        <w:gridCol w:w="2840"/>
      </w:tblGrid>
      <w:tr w:rsidR="004316A2" w:rsidRPr="00FD02D7" w14:paraId="0C43FC74" w14:textId="77777777" w:rsidTr="004316A2">
        <w:trPr>
          <w:trHeight w:val="283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3749C3E" w14:textId="77777777" w:rsidR="004316A2" w:rsidRPr="00FD02D7" w:rsidRDefault="004316A2" w:rsidP="005A7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2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VRSTA ODRŽAVANJA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B9AC9FE" w14:textId="77777777" w:rsidR="004316A2" w:rsidRPr="00FD02D7" w:rsidRDefault="004316A2" w:rsidP="005A7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2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IZVRŠENJE 2025.</w:t>
            </w:r>
          </w:p>
        </w:tc>
      </w:tr>
      <w:tr w:rsidR="004316A2" w:rsidRPr="00FD02D7" w14:paraId="62465342" w14:textId="77777777" w:rsidTr="004316A2">
        <w:trPr>
          <w:trHeight w:val="283"/>
          <w:jc w:val="center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A630" w14:textId="58780CFC" w:rsidR="004316A2" w:rsidRPr="00FD02D7" w:rsidRDefault="004316A2" w:rsidP="005A7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2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REDOVITO ODRŽAVANJE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CESTA</w:t>
            </w:r>
            <w:r w:rsidRPr="00FD02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I NABAVKA SOLI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C542E" w14:textId="77777777" w:rsidR="004316A2" w:rsidRPr="00FD02D7" w:rsidRDefault="004316A2" w:rsidP="005A7C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2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6.697.877,27</w:t>
            </w:r>
          </w:p>
        </w:tc>
      </w:tr>
      <w:tr w:rsidR="004316A2" w:rsidRPr="00FD02D7" w14:paraId="7B3B8D91" w14:textId="77777777" w:rsidTr="004316A2">
        <w:trPr>
          <w:trHeight w:val="283"/>
          <w:jc w:val="center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4F00E" w14:textId="73B5267C" w:rsidR="004316A2" w:rsidRPr="00FD02D7" w:rsidRDefault="004316A2" w:rsidP="005A7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2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IZVANREDNO ODRŽAVANJE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A2433" w14:textId="77777777" w:rsidR="004316A2" w:rsidRPr="00FD02D7" w:rsidRDefault="004316A2" w:rsidP="005A7C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2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3.930.231,23</w:t>
            </w:r>
          </w:p>
        </w:tc>
      </w:tr>
      <w:tr w:rsidR="004316A2" w:rsidRPr="00FD02D7" w14:paraId="011C3A34" w14:textId="77777777" w:rsidTr="004316A2">
        <w:trPr>
          <w:trHeight w:val="283"/>
          <w:jc w:val="center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FA19" w14:textId="16818020" w:rsidR="004316A2" w:rsidRPr="00FD02D7" w:rsidRDefault="004316A2" w:rsidP="005A7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2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GRADNJA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CESTA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165D4" w14:textId="77777777" w:rsidR="004316A2" w:rsidRPr="00FD02D7" w:rsidRDefault="004316A2" w:rsidP="005A7C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2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2.882.245,85</w:t>
            </w:r>
          </w:p>
        </w:tc>
      </w:tr>
      <w:tr w:rsidR="004316A2" w:rsidRPr="00FD02D7" w14:paraId="567863C7" w14:textId="77777777" w:rsidTr="004316A2">
        <w:trPr>
          <w:trHeight w:val="283"/>
          <w:jc w:val="center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19B9B" w14:textId="77777777" w:rsidR="004316A2" w:rsidRPr="00FD02D7" w:rsidRDefault="004316A2" w:rsidP="005A7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2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646B" w14:textId="77777777" w:rsidR="004316A2" w:rsidRPr="00FD02D7" w:rsidRDefault="004316A2" w:rsidP="005A7C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D02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13.510.354,35</w:t>
            </w:r>
          </w:p>
        </w:tc>
      </w:tr>
    </w:tbl>
    <w:p w14:paraId="16214F0A" w14:textId="66B05AD0" w:rsidR="004316A2" w:rsidRPr="00333EA0" w:rsidRDefault="004316A2" w:rsidP="004316A2">
      <w:pPr>
        <w:pStyle w:val="Opisslike"/>
        <w:keepNext/>
        <w:spacing w:before="120" w:after="120"/>
        <w:ind w:left="1021" w:hanging="1021"/>
        <w:rPr>
          <w:i w:val="0"/>
          <w:color w:val="222A35" w:themeColor="text2" w:themeShade="80"/>
          <w:sz w:val="22"/>
          <w:szCs w:val="22"/>
        </w:rPr>
      </w:pPr>
      <w:bookmarkStart w:id="72" w:name="_Toc224047152"/>
      <w:r w:rsidRPr="00333EA0">
        <w:rPr>
          <w:i w:val="0"/>
          <w:color w:val="222A35" w:themeColor="text2" w:themeShade="80"/>
          <w:sz w:val="22"/>
          <w:szCs w:val="22"/>
        </w:rPr>
        <w:lastRenderedPageBreak/>
        <w:t xml:space="preserve">Grafikon </w:t>
      </w:r>
      <w:r w:rsidRPr="00333EA0">
        <w:rPr>
          <w:i w:val="0"/>
          <w:color w:val="222A35" w:themeColor="text2" w:themeShade="80"/>
          <w:sz w:val="22"/>
          <w:szCs w:val="22"/>
        </w:rPr>
        <w:fldChar w:fldCharType="begin"/>
      </w:r>
      <w:r w:rsidRPr="00333EA0">
        <w:rPr>
          <w:i w:val="0"/>
          <w:color w:val="222A35" w:themeColor="text2" w:themeShade="80"/>
          <w:sz w:val="22"/>
          <w:szCs w:val="22"/>
        </w:rPr>
        <w:instrText xml:space="preserve"> SEQ Grafikon \* ARABIC </w:instrText>
      </w:r>
      <w:r w:rsidRPr="00333EA0">
        <w:rPr>
          <w:i w:val="0"/>
          <w:color w:val="222A35" w:themeColor="text2" w:themeShade="80"/>
          <w:sz w:val="22"/>
          <w:szCs w:val="22"/>
        </w:rPr>
        <w:fldChar w:fldCharType="separate"/>
      </w:r>
      <w:r w:rsidR="00EC1B3D">
        <w:rPr>
          <w:i w:val="0"/>
          <w:noProof/>
          <w:color w:val="222A35" w:themeColor="text2" w:themeShade="80"/>
          <w:sz w:val="22"/>
          <w:szCs w:val="22"/>
        </w:rPr>
        <w:t>3</w:t>
      </w:r>
      <w:r w:rsidRPr="00333EA0">
        <w:rPr>
          <w:i w:val="0"/>
          <w:color w:val="222A35" w:themeColor="text2" w:themeShade="80"/>
          <w:sz w:val="22"/>
          <w:szCs w:val="22"/>
        </w:rPr>
        <w:fldChar w:fldCharType="end"/>
      </w:r>
      <w:r w:rsidRPr="00333EA0">
        <w:rPr>
          <w:i w:val="0"/>
          <w:color w:val="222A35" w:themeColor="text2" w:themeShade="80"/>
          <w:sz w:val="22"/>
          <w:szCs w:val="22"/>
        </w:rPr>
        <w:t xml:space="preserve">. Ukupno uložena sredstva </w:t>
      </w:r>
      <w:r>
        <w:rPr>
          <w:i w:val="0"/>
          <w:color w:val="222A35" w:themeColor="text2" w:themeShade="80"/>
          <w:sz w:val="22"/>
          <w:szCs w:val="22"/>
        </w:rPr>
        <w:t xml:space="preserve">u ceste </w:t>
      </w:r>
      <w:r w:rsidRPr="00333EA0">
        <w:rPr>
          <w:i w:val="0"/>
          <w:color w:val="222A35" w:themeColor="text2" w:themeShade="80"/>
          <w:sz w:val="22"/>
          <w:szCs w:val="22"/>
        </w:rPr>
        <w:t xml:space="preserve">po vrsti </w:t>
      </w:r>
      <w:r>
        <w:rPr>
          <w:i w:val="0"/>
          <w:color w:val="222A35" w:themeColor="text2" w:themeShade="80"/>
          <w:sz w:val="22"/>
          <w:szCs w:val="22"/>
        </w:rPr>
        <w:t xml:space="preserve">programa </w:t>
      </w:r>
      <w:r w:rsidRPr="00333EA0">
        <w:rPr>
          <w:i w:val="0"/>
          <w:color w:val="222A35" w:themeColor="text2" w:themeShade="80"/>
          <w:sz w:val="22"/>
          <w:szCs w:val="22"/>
        </w:rPr>
        <w:t>u 2025. godini</w:t>
      </w:r>
      <w:bookmarkEnd w:id="72"/>
    </w:p>
    <w:p w14:paraId="16E1F5EC" w14:textId="77777777" w:rsidR="004316A2" w:rsidRDefault="004316A2" w:rsidP="004316A2">
      <w:pPr>
        <w:keepNext/>
        <w:spacing w:before="120" w:after="120"/>
      </w:pPr>
      <w:r>
        <w:rPr>
          <w:noProof/>
          <w:lang w:eastAsia="hr-HR"/>
        </w:rPr>
        <w:drawing>
          <wp:inline distT="0" distB="0" distL="0" distR="0" wp14:anchorId="75A4168E" wp14:editId="12B3E011">
            <wp:extent cx="6062345" cy="2879725"/>
            <wp:effectExtent l="0" t="0" r="14605" b="15875"/>
            <wp:docPr id="7" name="Grafikon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876EA72" w14:textId="1AD4E4F4" w:rsidR="008B6BC1" w:rsidRDefault="00C120F3" w:rsidP="004316A2">
      <w:pPr>
        <w:spacing w:before="240" w:after="120" w:line="257" w:lineRule="auto"/>
        <w:jc w:val="both"/>
        <w:rPr>
          <w:rFonts w:eastAsia="Calibri" w:cs="Calibri"/>
        </w:rPr>
      </w:pPr>
      <w:r>
        <w:rPr>
          <w:rFonts w:eastAsia="Calibri" w:cs="Calibri"/>
        </w:rPr>
        <w:t>Ugovorne obveze koje su preuzete u 202</w:t>
      </w:r>
      <w:r w:rsidR="00BF589A">
        <w:rPr>
          <w:rFonts w:eastAsia="Calibri" w:cs="Calibri"/>
        </w:rPr>
        <w:t>5</w:t>
      </w:r>
      <w:r>
        <w:rPr>
          <w:rFonts w:eastAsia="Calibri" w:cs="Calibri"/>
        </w:rPr>
        <w:t>. godini, a nisu izvršene d</w:t>
      </w:r>
      <w:r w:rsidR="00BF589A">
        <w:rPr>
          <w:rFonts w:eastAsia="Calibri" w:cs="Calibri"/>
        </w:rPr>
        <w:t>o kraja godine prenose se u 2026</w:t>
      </w:r>
      <w:r>
        <w:rPr>
          <w:rFonts w:eastAsia="Calibri" w:cs="Calibri"/>
        </w:rPr>
        <w:t>. godinu, te će I. Izmjenama i dopunama biti uključene u Financijski plan za 202</w:t>
      </w:r>
      <w:r w:rsidR="00815026">
        <w:rPr>
          <w:rFonts w:eastAsia="Calibri" w:cs="Calibri"/>
        </w:rPr>
        <w:t>5</w:t>
      </w:r>
      <w:r w:rsidR="00BF589A">
        <w:rPr>
          <w:rFonts w:eastAsia="Calibri" w:cs="Calibri"/>
        </w:rPr>
        <w:t>. godinu.</w:t>
      </w:r>
    </w:p>
    <w:p w14:paraId="5ABE6252" w14:textId="1E3C071F" w:rsidR="007119F8" w:rsidRDefault="00C120F3" w:rsidP="00C120F3">
      <w:pPr>
        <w:spacing w:before="120" w:after="120"/>
        <w:jc w:val="both"/>
        <w:rPr>
          <w:rFonts w:eastAsia="Calibri" w:cs="Calibri"/>
        </w:rPr>
      </w:pPr>
      <w:r>
        <w:rPr>
          <w:rFonts w:eastAsia="Calibri" w:cs="Calibri"/>
        </w:rPr>
        <w:t>U nastavku slijedi tabelarni prikaz ugovornih obveza koje se prenose u 202</w:t>
      </w:r>
      <w:r w:rsidR="00BF589A">
        <w:rPr>
          <w:rFonts w:eastAsia="Calibri" w:cs="Calibri"/>
        </w:rPr>
        <w:t>6</w:t>
      </w:r>
      <w:r>
        <w:rPr>
          <w:rFonts w:eastAsia="Calibri" w:cs="Calibri"/>
        </w:rPr>
        <w:t>. godinu:</w:t>
      </w:r>
    </w:p>
    <w:p w14:paraId="54CED382" w14:textId="19C94145" w:rsidR="00C120F3" w:rsidRDefault="00C120F3" w:rsidP="007D46BE">
      <w:pPr>
        <w:spacing w:line="259" w:lineRule="auto"/>
        <w:rPr>
          <w:iCs/>
          <w:color w:val="222A35" w:themeColor="text2" w:themeShade="80"/>
        </w:rPr>
      </w:pPr>
      <w:bookmarkStart w:id="73" w:name="_Toc127191384"/>
      <w:bookmarkStart w:id="74" w:name="_Toc130464208"/>
      <w:bookmarkStart w:id="75" w:name="_Toc224047024"/>
      <w:r w:rsidRPr="002308A7">
        <w:rPr>
          <w:iCs/>
          <w:color w:val="222A35" w:themeColor="text2" w:themeShade="80"/>
        </w:rPr>
        <w:t xml:space="preserve">Tablica </w:t>
      </w:r>
      <w:r w:rsidRPr="002308A7">
        <w:rPr>
          <w:iCs/>
          <w:color w:val="222A35" w:themeColor="text2" w:themeShade="80"/>
        </w:rPr>
        <w:fldChar w:fldCharType="begin"/>
      </w:r>
      <w:r w:rsidRPr="002308A7">
        <w:rPr>
          <w:iCs/>
          <w:color w:val="222A35" w:themeColor="text2" w:themeShade="80"/>
        </w:rPr>
        <w:instrText xml:space="preserve"> SEQ Tablica \* ARABIC </w:instrText>
      </w:r>
      <w:r w:rsidRPr="002308A7">
        <w:rPr>
          <w:iCs/>
          <w:color w:val="222A35" w:themeColor="text2" w:themeShade="80"/>
        </w:rPr>
        <w:fldChar w:fldCharType="separate"/>
      </w:r>
      <w:r w:rsidR="00EC1B3D">
        <w:rPr>
          <w:iCs/>
          <w:noProof/>
          <w:color w:val="222A35" w:themeColor="text2" w:themeShade="80"/>
        </w:rPr>
        <w:t>24</w:t>
      </w:r>
      <w:r w:rsidRPr="002308A7">
        <w:rPr>
          <w:iCs/>
          <w:color w:val="222A35" w:themeColor="text2" w:themeShade="80"/>
        </w:rPr>
        <w:fldChar w:fldCharType="end"/>
      </w:r>
      <w:r w:rsidRPr="002308A7">
        <w:rPr>
          <w:iCs/>
          <w:color w:val="222A35" w:themeColor="text2" w:themeShade="80"/>
        </w:rPr>
        <w:t xml:space="preserve">. Preneseni radovi izvanrednog održavanja </w:t>
      </w:r>
      <w:r w:rsidR="007A07DE" w:rsidRPr="002308A7">
        <w:rPr>
          <w:iCs/>
          <w:color w:val="222A35" w:themeColor="text2" w:themeShade="80"/>
        </w:rPr>
        <w:t xml:space="preserve">i gradnje </w:t>
      </w:r>
      <w:r w:rsidR="00FD02D7">
        <w:rPr>
          <w:iCs/>
          <w:color w:val="222A35" w:themeColor="text2" w:themeShade="80"/>
        </w:rPr>
        <w:t xml:space="preserve">cesta </w:t>
      </w:r>
      <w:r w:rsidR="003F7D58">
        <w:rPr>
          <w:iCs/>
          <w:color w:val="222A35" w:themeColor="text2" w:themeShade="80"/>
        </w:rPr>
        <w:t>iz 2025</w:t>
      </w:r>
      <w:r w:rsidR="004F64CA">
        <w:rPr>
          <w:iCs/>
          <w:color w:val="222A35" w:themeColor="text2" w:themeShade="80"/>
        </w:rPr>
        <w:t xml:space="preserve">. </w:t>
      </w:r>
      <w:r w:rsidR="002C59E9">
        <w:rPr>
          <w:iCs/>
          <w:color w:val="222A35" w:themeColor="text2" w:themeShade="80"/>
        </w:rPr>
        <w:t xml:space="preserve">godine </w:t>
      </w:r>
      <w:r w:rsidR="003F7D58">
        <w:rPr>
          <w:iCs/>
          <w:color w:val="222A35" w:themeColor="text2" w:themeShade="80"/>
        </w:rPr>
        <w:t>u 2026</w:t>
      </w:r>
      <w:r w:rsidRPr="002308A7">
        <w:rPr>
          <w:iCs/>
          <w:color w:val="222A35" w:themeColor="text2" w:themeShade="80"/>
        </w:rPr>
        <w:t>. godinu</w:t>
      </w:r>
      <w:bookmarkEnd w:id="73"/>
      <w:bookmarkEnd w:id="74"/>
      <w:bookmarkEnd w:id="75"/>
    </w:p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562"/>
        <w:gridCol w:w="851"/>
        <w:gridCol w:w="2835"/>
        <w:gridCol w:w="761"/>
        <w:gridCol w:w="1223"/>
        <w:gridCol w:w="3848"/>
      </w:tblGrid>
      <w:tr w:rsidR="003F7D58" w:rsidRPr="003F7D58" w14:paraId="0A8DE780" w14:textId="77777777" w:rsidTr="00341995">
        <w:trPr>
          <w:trHeight w:val="720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4E42C9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Red. broj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B651B78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Oznaka ceste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DBAD94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Vrsta planiranog zahvata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9EB839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Duljina </w:t>
            </w: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 xml:space="preserve">dionice </w:t>
            </w: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br/>
              <w:t>km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0E11B1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Preneseni iznos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C96E01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Status</w:t>
            </w:r>
          </w:p>
        </w:tc>
      </w:tr>
      <w:tr w:rsidR="003F7D58" w:rsidRPr="003F7D58" w14:paraId="2BAF2DCF" w14:textId="77777777" w:rsidTr="00341995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F6DBF7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14AA1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78C94C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Sanacije cesta/kolnika /zidova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CF4089" w14:textId="0E5C6ACD" w:rsidR="003F7D58" w:rsidRPr="003F7D58" w:rsidRDefault="00CF31CC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2,260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EBBAB5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930.880,59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B66A404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F7D58" w:rsidRPr="003F7D58" w14:paraId="4F0C567C" w14:textId="77777777" w:rsidTr="00341995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D1784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C216F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6A2F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završnog sloja asfalta, lokalitet Marinići - Viškovo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2BCC" w14:textId="490D5ED4" w:rsidR="003F7D58" w:rsidRPr="003F7D58" w:rsidRDefault="00803986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DF6B8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85.988,75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D7DF" w14:textId="416ABD2E" w:rsidR="003F7D58" w:rsidRPr="003F7D58" w:rsidRDefault="006B5E75" w:rsidP="0034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B5E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su ugovoreni</w:t>
            </w:r>
            <w:r w:rsidR="00341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;</w:t>
            </w:r>
            <w:r w:rsidRPr="006B5E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budući je sanacija ceste dio aglomeracije izvršenje prati radove aglomeracije.</w:t>
            </w:r>
            <w:r w:rsidR="003F7D58"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F7D58" w:rsidRPr="003F7D58" w14:paraId="5B2D311A" w14:textId="77777777" w:rsidTr="00341995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EB009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40CB4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4184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završnog sloja asfalta (2. dio), lokalitet Marinići - Viškovo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61CA0" w14:textId="20FBCA7A" w:rsidR="003F7D58" w:rsidRPr="003F7D58" w:rsidRDefault="00803986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FE64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85.940,00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1B1E" w14:textId="7EF8DE7F" w:rsidR="003F7D58" w:rsidRPr="003F7D58" w:rsidRDefault="00341995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Radovi su ugovoreni;</w:t>
            </w:r>
            <w:r w:rsidR="006B5E75" w:rsidRPr="006B5E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budući je sanacija ceste dio aglomeracije izvršenje prati radove aglomeracije.</w:t>
            </w:r>
          </w:p>
        </w:tc>
      </w:tr>
      <w:tr w:rsidR="003F7D58" w:rsidRPr="003F7D58" w14:paraId="1E9D313E" w14:textId="77777777" w:rsidTr="00341995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19F2A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3FD99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D3CA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kolnika 2. dionica, lokalitet </w:t>
            </w: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Zamost</w:t>
            </w:r>
            <w:proofErr w:type="spellEnd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-Hrvatsko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DB3F1" w14:textId="76936D87" w:rsidR="003F7D58" w:rsidRPr="003F7D58" w:rsidRDefault="00803986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CE9F0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145.000,00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7574F" w14:textId="3DBD3E8D" w:rsidR="003F7D58" w:rsidRPr="003F7D58" w:rsidRDefault="006934E0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Radi zimskih uvjeta na navedenoj dionici ceste radovi se prenose u 2026. godinu.</w:t>
            </w:r>
          </w:p>
        </w:tc>
      </w:tr>
      <w:tr w:rsidR="003F7D58" w:rsidRPr="003F7D58" w14:paraId="5BABBD96" w14:textId="77777777" w:rsidTr="00341995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CC34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48E9A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8E21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Sanacije dijela ceste - poslovna zona Sveti Vid, lokalitet Malinska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35D7" w14:textId="10DDD1A0" w:rsidR="003F7D58" w:rsidRPr="003F7D58" w:rsidRDefault="00803986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0,280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A7F9A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118.292,37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1295" w14:textId="2C7C9BAF" w:rsidR="003F7D58" w:rsidRPr="003F7D58" w:rsidRDefault="006B5E75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B5E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 predmetnoj dionici ceste je zbog velikog prometnog opterećenja najoptimalnije radove izvoditi u zimskom periodu.</w:t>
            </w:r>
          </w:p>
        </w:tc>
      </w:tr>
      <w:tr w:rsidR="003F7D58" w:rsidRPr="003F7D58" w14:paraId="07D9467F" w14:textId="77777777" w:rsidTr="00341995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50D37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8DC21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E66E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dijela ceste (3. dionica), lokalitet Vrbnik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0152" w14:textId="58354366" w:rsidR="003F7D58" w:rsidRPr="003F7D58" w:rsidRDefault="00803986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98E31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125.657,59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BAC0" w14:textId="0A79FA77" w:rsidR="003F7D58" w:rsidRPr="003F7D58" w:rsidRDefault="006B5E75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B5E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Zbog zabrane radova tijekom turističke sezone sa izvođenjem radova se započelo u jesen 2025.</w:t>
            </w:r>
            <w:r w:rsidR="003419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godine</w:t>
            </w:r>
            <w:r w:rsidR="00CF31C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3F7D58" w:rsidRPr="003F7D58" w14:paraId="50F09D8A" w14:textId="77777777" w:rsidTr="00341995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3B72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F5EED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941F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klizišta između naselja </w:t>
            </w: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Smrekari</w:t>
            </w:r>
            <w:proofErr w:type="spellEnd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Mali Lug, lokalitet Čabar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4400" w14:textId="28BFAB16" w:rsidR="003F7D58" w:rsidRPr="003F7D58" w:rsidRDefault="00803986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8C91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198.750,00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64FB" w14:textId="14AEF98E" w:rsidR="003F7D58" w:rsidRPr="003F7D58" w:rsidRDefault="00EB09A9" w:rsidP="000C4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Radovi se nisu mogli izvoditi u periodu </w:t>
            </w:r>
            <w:r w:rsidR="000C4D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zimskih uvjeta i intenzivnih oborina te se isti planiraju nastaviti u 2026. godini.</w:t>
            </w:r>
          </w:p>
        </w:tc>
      </w:tr>
      <w:tr w:rsidR="003F7D58" w:rsidRPr="003F7D58" w14:paraId="4B2CAAB9" w14:textId="77777777" w:rsidTr="00341995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A55A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C4EF4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B7A3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Sanacija kolnika i nogostupa, lokalitet Rab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ACF9D" w14:textId="5C133B2A" w:rsidR="003F7D58" w:rsidRPr="003F7D58" w:rsidRDefault="00803986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AD59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86.251,88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1E14" w14:textId="0E40D896" w:rsidR="003F7D58" w:rsidRPr="003F7D58" w:rsidRDefault="001574BF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Sredstva su osigurana II. Izmjenama i dopunama financijskog plana za 2025. godinu te su radovi ugovoreni nakon usvajanja.</w:t>
            </w:r>
          </w:p>
        </w:tc>
      </w:tr>
      <w:tr w:rsidR="003F7D58" w:rsidRPr="003F7D58" w14:paraId="73733446" w14:textId="77777777" w:rsidTr="00341995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63A9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05D0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D7FB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Sanacija kolnika, lokalitet </w:t>
            </w: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a.g</w:t>
            </w:r>
            <w:proofErr w:type="spellEnd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 općine Matulji-Belići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5C5F" w14:textId="68D1A1BB" w:rsidR="003F7D58" w:rsidRPr="003F7D58" w:rsidRDefault="00803986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0,900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39E73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85.000,00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27805" w14:textId="6C99B92B" w:rsidR="003F7D58" w:rsidRPr="003F7D58" w:rsidRDefault="00A9128A" w:rsidP="007B5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7B55B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Sredstva su osigurana II. Izmjenama i dopunama financijskog plana </w:t>
            </w:r>
            <w:r w:rsidR="001737C0" w:rsidRPr="007B55B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za 2025. </w:t>
            </w:r>
            <w:r w:rsidR="007B55BC" w:rsidRPr="007B55B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Radovi su ugovoreni; budući je sanacija ceste dio aglomeracije izvršenje prati radove aglomeracije.</w:t>
            </w:r>
          </w:p>
        </w:tc>
      </w:tr>
      <w:tr w:rsidR="003F1AE4" w:rsidRPr="003F7D58" w14:paraId="2640FF67" w14:textId="77777777" w:rsidTr="003F1AE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5A9672E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E80C07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224AD9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Mostovi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9E4CA9" w14:textId="76DECB4E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4B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EFC377" w14:textId="77777777" w:rsidR="003F1AE4" w:rsidRPr="003F7D58" w:rsidRDefault="003F1AE4" w:rsidP="003F1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2A7E6E" w14:textId="7279788C" w:rsidR="003F1AE4" w:rsidRPr="003F7D58" w:rsidRDefault="00AE2BBC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B55B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Sredstva su osigurana II. Izmjenama i dopunama financijskog plana za 2025. godinu te je nabava pokrenuta krajem 2025. godine</w:t>
            </w:r>
            <w:r w:rsidRPr="00CF31C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</w:t>
            </w:r>
          </w:p>
        </w:tc>
      </w:tr>
      <w:tr w:rsidR="003F1AE4" w:rsidRPr="003F7D58" w14:paraId="33730692" w14:textId="77777777" w:rsidTr="003F1AE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2EA29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2DF544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2731C2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Oprema ceste i postava prometne signalizacije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ACA349" w14:textId="6053F1EB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4F4BC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01101E" w14:textId="77777777" w:rsidR="003F1AE4" w:rsidRPr="003F7D58" w:rsidRDefault="003F1AE4" w:rsidP="003F1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244.525,00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D43E9E" w14:textId="533A57A9" w:rsidR="003F1AE4" w:rsidRPr="00AE2BBC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AE2BB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 xml:space="preserve">Financijska sredstva za radove postavljanja odbojnih ograda i izradu prometno-građevinskog projekta osigurana su II. Izmjenama i dopunama financijskog plana 2025. godine, te je po </w:t>
            </w:r>
            <w:r w:rsidRPr="00AE2BB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lastRenderedPageBreak/>
              <w:t xml:space="preserve">usvajanju istoga započeo postupak nabave, a sve krajem 2025. godine. </w:t>
            </w:r>
          </w:p>
        </w:tc>
      </w:tr>
      <w:tr w:rsidR="003F1AE4" w:rsidRPr="003F7D58" w14:paraId="5E82F841" w14:textId="77777777" w:rsidTr="003F1AE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CFDA57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F82A7F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8343BE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Interventne mjere i zahvati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CAC8A9" w14:textId="16C25A19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5B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80BFCE" w14:textId="77777777" w:rsidR="003F1AE4" w:rsidRPr="003F7D58" w:rsidRDefault="003F1AE4" w:rsidP="003F1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93.875,00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4B1574" w14:textId="4B78DB68" w:rsidR="003F1AE4" w:rsidRPr="00AE2BBC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AE2BB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Izvršeno u 2026. godini.</w:t>
            </w:r>
          </w:p>
        </w:tc>
      </w:tr>
      <w:tr w:rsidR="003F1AE4" w:rsidRPr="003F7D58" w14:paraId="6B19E1D4" w14:textId="77777777" w:rsidTr="003F1AE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7AABC7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1CED26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C2AE50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Projektiranje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A5EEEF" w14:textId="6243316C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5B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CBFF52" w14:textId="77777777" w:rsidR="003F1AE4" w:rsidRPr="003F7D58" w:rsidRDefault="003F1AE4" w:rsidP="003F1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60.487,50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0EDBFB" w14:textId="1B5F4637" w:rsidR="003F1AE4" w:rsidRPr="00AE2BBC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AE2BB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Ugovoreno/usluge u tijeku </w:t>
            </w:r>
          </w:p>
        </w:tc>
      </w:tr>
      <w:tr w:rsidR="003F1AE4" w:rsidRPr="003F7D58" w14:paraId="4DC186F2" w14:textId="77777777" w:rsidTr="003F1AE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F98451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55EC78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5D97A7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Proširenje evidencije baze cestovnih podataka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8FB643" w14:textId="15CEFDD8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5B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5004F4" w14:textId="77777777" w:rsidR="003F1AE4" w:rsidRPr="003F7D58" w:rsidRDefault="003F1AE4" w:rsidP="003F1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18.250,00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DACB98" w14:textId="78F03276" w:rsidR="003F1AE4" w:rsidRPr="00AE2BBC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AE2BB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Ugovoreno/usluga u tijeku </w:t>
            </w:r>
          </w:p>
        </w:tc>
      </w:tr>
      <w:tr w:rsidR="003F1AE4" w:rsidRPr="003F7D58" w14:paraId="78E2C308" w14:textId="77777777" w:rsidTr="003F1AE4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462CE27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7.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8B78A6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ŽC/LC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A040E9" w14:textId="77777777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Geodetske usluge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E704DC" w14:textId="5ECE42CD" w:rsidR="003F1AE4" w:rsidRPr="003F7D58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B5B1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B23A12" w14:textId="77777777" w:rsidR="003F1AE4" w:rsidRPr="003F7D58" w:rsidRDefault="003F1AE4" w:rsidP="003F1A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28.187,50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6AAFAF" w14:textId="20E60C97" w:rsidR="003F1AE4" w:rsidRPr="00AE2BBC" w:rsidRDefault="003F1AE4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</w:pPr>
            <w:r w:rsidRPr="00AE2BBC">
              <w:rPr>
                <w:rFonts w:ascii="Calibri" w:eastAsia="Times New Roman" w:hAnsi="Calibri" w:cs="Calibri"/>
                <w:bCs/>
                <w:color w:val="000000"/>
                <w:sz w:val="18"/>
                <w:szCs w:val="18"/>
                <w:lang w:eastAsia="hr-HR"/>
              </w:rPr>
              <w:t>Ugovoreno/usluge u tijeku</w:t>
            </w:r>
          </w:p>
        </w:tc>
      </w:tr>
      <w:tr w:rsidR="003F7D58" w:rsidRPr="003F7D58" w14:paraId="4809B366" w14:textId="77777777" w:rsidTr="00341995">
        <w:trPr>
          <w:trHeight w:val="283"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6110C7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IZVANREDNO ODRŽAVANJE CESTA UKUPNO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CD7A55" w14:textId="6EAB72BF" w:rsidR="003F7D58" w:rsidRPr="003F7D58" w:rsidRDefault="00BB5CBF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2,260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1DAF920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1.626.205,59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943031" w14:textId="3809C272" w:rsidR="003F7D58" w:rsidRPr="003F7D58" w:rsidRDefault="00BB5CBF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F7D58" w:rsidRPr="003F7D58" w14:paraId="4F1F22A2" w14:textId="77777777" w:rsidTr="00341995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39A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692B9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C3DC" w14:textId="182284C6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dijela županijske ceste - izmicanje postojeće dionice izvan naselja</w:t>
            </w:r>
            <w:r w:rsidR="00444B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="00444BD3" w:rsidRPr="00444B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Kuželj</w:t>
            </w:r>
            <w:proofErr w:type="spellEnd"/>
            <w:r w:rsidR="00444BD3" w:rsidRPr="00444B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="00444BD3" w:rsidRPr="00444B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Grbajel</w:t>
            </w:r>
            <w:proofErr w:type="spellEnd"/>
            <w:r w:rsidR="00444BD3" w:rsidRPr="00444BD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Guče Selo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1A40A" w14:textId="69756C8C" w:rsidR="003F7D58" w:rsidRPr="003F7D58" w:rsidRDefault="00803986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2,400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EFAA9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1.013.616,30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F5DF" w14:textId="0EA55148" w:rsidR="003F7D58" w:rsidRPr="003F7D58" w:rsidRDefault="006B5E75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B5E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Radovi se izvode 26 mjeseci, a započeli su krajem travnja 2025. godine. U zimskom periodu nije </w:t>
            </w:r>
            <w:r w:rsidR="00FE78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bilo </w:t>
            </w:r>
            <w:r w:rsidRPr="006B5E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moguće izvođenje radova.</w:t>
            </w:r>
          </w:p>
        </w:tc>
      </w:tr>
      <w:tr w:rsidR="003F7D58" w:rsidRPr="003F7D58" w14:paraId="1034DC14" w14:textId="77777777" w:rsidTr="00341995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08AA6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3EE6C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A9A3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idejnog projekta ceste sa ishođenjem lokacijske dozvole, lokalitet Breza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E8431" w14:textId="29E58CD6" w:rsidR="003F7D58" w:rsidRPr="003F7D58" w:rsidRDefault="00803986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22B8F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14.925,00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EC08" w14:textId="50DECE83" w:rsidR="003F7D58" w:rsidRPr="00A9128A" w:rsidRDefault="00A9128A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 w:rsidRPr="007B55B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Sredstva su osigurana II. Izmjenama i dopunama financijskog plana</w:t>
            </w:r>
            <w:r w:rsidR="001737C0" w:rsidRPr="007B55B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za 2025. godinu</w:t>
            </w:r>
            <w:r w:rsidRPr="007B55B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te je nabava pokrenuta krajem 2025. godine</w:t>
            </w:r>
            <w:r w:rsidR="00CF31CC" w:rsidRPr="00CF31C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</w:t>
            </w:r>
          </w:p>
        </w:tc>
      </w:tr>
      <w:tr w:rsidR="003F7D58" w:rsidRPr="003F7D58" w14:paraId="1483DC3D" w14:textId="77777777" w:rsidTr="00341995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BB7B1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E5A2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ŽC5055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33A6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Izrada idejnog projekta ceste, nogostupa i biciklističke staze u dužnici 1500 m sa ishođenjem lokacijske dozvole, lokalitet </w:t>
            </w: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Zastenice</w:t>
            </w:r>
            <w:proofErr w:type="spellEnd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-Dražice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18D6" w14:textId="6658C9D4" w:rsidR="003F7D58" w:rsidRPr="003F7D58" w:rsidRDefault="00803986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77FB2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31.875,00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7AC0" w14:textId="6D44DE75" w:rsidR="003F7D58" w:rsidRPr="00A9128A" w:rsidRDefault="00A9128A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hr-HR"/>
              </w:rPr>
            </w:pPr>
            <w:r w:rsidRPr="007B55B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Sredstva su osigurana II. Izmjenama i dopunama financijskog plana </w:t>
            </w:r>
            <w:r w:rsidR="001737C0" w:rsidRPr="007B55B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za 2025. godinu </w:t>
            </w:r>
            <w:r w:rsidRPr="007B55B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te je nabava pokrenuta krajem 2025. godine</w:t>
            </w:r>
            <w:r w:rsidR="00CF31CC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.</w:t>
            </w:r>
          </w:p>
        </w:tc>
      </w:tr>
      <w:tr w:rsidR="003F7D58" w:rsidRPr="003F7D58" w14:paraId="2A5D14B6" w14:textId="77777777" w:rsidTr="00341995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C463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ED498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ŽC5137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A1C2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Izrada idejnog projekta rekonstrukcije ceste, oborinske odvodnje i nogostupa s ishođenjem lokacijske dozvole, lokalitet </w:t>
            </w: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Zaglav</w:t>
            </w:r>
            <w:proofErr w:type="spellEnd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- Martinšćica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87D0" w14:textId="7743ACEB" w:rsidR="003F7D58" w:rsidRPr="003F7D58" w:rsidRDefault="00803986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70577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13.612,50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63F9" w14:textId="28A1A42D" w:rsidR="003F7D58" w:rsidRPr="003F7D58" w:rsidRDefault="007B55BC" w:rsidP="007B55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000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Idejni projekt je izrađen te je predan u Ministarstvo zaštite okoliša i zelene tranzicije radi ishođenja </w:t>
            </w:r>
            <w:r w:rsidR="002000DB" w:rsidRPr="002000DB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ocjene o potrebi procjene izrade studije utjecaja na okoliš.</w:t>
            </w:r>
          </w:p>
        </w:tc>
      </w:tr>
      <w:tr w:rsidR="003F7D58" w:rsidRPr="003F7D58" w14:paraId="2090E190" w14:textId="77777777" w:rsidTr="00341995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04802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4FEA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ŽC5206/</w:t>
            </w: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br/>
              <w:t>ŽC5207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1A005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glavnog projekta rekonstrukcije raskrižja u kružno raskrižje s ishođenjem građevinske dozvole, lokalitet Rešetari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BBC1" w14:textId="7A4DAA94" w:rsidR="003F7D58" w:rsidRPr="003F7D58" w:rsidRDefault="00803986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3B014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15.843,75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EEB9" w14:textId="0617226C" w:rsidR="003F7D58" w:rsidRPr="003F7D58" w:rsidRDefault="007B55BC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Glavni projekt je izrađen te se čekaju posebni uvjeti.</w:t>
            </w:r>
          </w:p>
        </w:tc>
      </w:tr>
      <w:tr w:rsidR="003F7D58" w:rsidRPr="003F7D58" w14:paraId="485C1C27" w14:textId="77777777" w:rsidTr="00341995">
        <w:trPr>
          <w:trHeight w:val="1178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A072F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86EA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ŽC5219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EAE21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Izrada idejnog projekta faznog održavanja sanacije ceste, lokalitet Bribir-Gornji </w:t>
            </w: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Zagon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E9DA" w14:textId="1095EFAC" w:rsidR="003F7D58" w:rsidRPr="003F7D58" w:rsidRDefault="00803986" w:rsidP="003F1A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A1D14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32.875,00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3A52" w14:textId="333DBB53" w:rsidR="00784B79" w:rsidRPr="003F7D58" w:rsidRDefault="00013574" w:rsidP="003419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0135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Idejno rješenje s opisom i prikazom građevine </w:t>
            </w:r>
            <w:r w:rsidR="00FE78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poslano je</w:t>
            </w:r>
            <w:r w:rsidRPr="0001357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Ministarstvu zaštite okoliša i zelene tranzicije kako bi se dobilo mišljenje o potrebi provedbe postupka ocjene o potrebi procjene utjecaja na okoliš i ocjene prihvatljivosti na ekološku mrežu na predmetni zahvat.</w:t>
            </w:r>
          </w:p>
        </w:tc>
      </w:tr>
      <w:tr w:rsidR="003F7D58" w:rsidRPr="003F7D58" w14:paraId="26BB98C2" w14:textId="77777777" w:rsidTr="00341995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0DF22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E275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8ACE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Izrada idejnog projekta s ishođenjem lokacijske dozvole za izgradnju spojne ceste, lokalitet </w:t>
            </w: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Linardići</w:t>
            </w:r>
            <w:proofErr w:type="spellEnd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-Brzac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1D4AF" w14:textId="63184F5B" w:rsidR="003F7D58" w:rsidRPr="003F7D58" w:rsidRDefault="00803986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8FADE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7.781,25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E074" w14:textId="40903CB6" w:rsidR="003F7D58" w:rsidRPr="003F7D58" w:rsidRDefault="006B5E75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B5E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Za </w:t>
            </w:r>
            <w:proofErr w:type="spellStart"/>
            <w:r w:rsidRPr="006B5E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ishodovanje</w:t>
            </w:r>
            <w:proofErr w:type="spellEnd"/>
            <w:r w:rsidRPr="006B5E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lokacijske dozvole potrebno je prethodno provesti postupak procjene utjecaja na okoliš.</w:t>
            </w:r>
          </w:p>
        </w:tc>
      </w:tr>
      <w:tr w:rsidR="003F7D58" w:rsidRPr="003F7D58" w14:paraId="2E0BC8A1" w14:textId="77777777" w:rsidTr="00341995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236C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B8AA7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LC58086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E6C8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Izrada elaborata zaštite okoliša za izgradnju nove spojne ceste, lokalitet </w:t>
            </w: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Linardići</w:t>
            </w:r>
            <w:proofErr w:type="spellEnd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-Brzac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C76C1" w14:textId="36A946E7" w:rsidR="003F7D58" w:rsidRPr="003F7D58" w:rsidRDefault="00803986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48A7B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4548" w14:textId="54067795" w:rsidR="003F7D58" w:rsidRPr="003F7D58" w:rsidRDefault="006B5E75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Izrada elaborata je planirana u II. Izmjenama i dopunama financijskog plana</w:t>
            </w:r>
            <w:r w:rsidR="00FE789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za 2025. godinu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te je nabava pokrenuta nakon usvajanja istoga.</w:t>
            </w:r>
          </w:p>
        </w:tc>
      </w:tr>
      <w:tr w:rsidR="003F7D58" w:rsidRPr="003F7D58" w14:paraId="24BCADC3" w14:textId="77777777" w:rsidTr="00341995">
        <w:trPr>
          <w:trHeight w:val="283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8A6E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74B72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LC58101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11B4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Izrada idejnog projekta sa ishođenjem lokacijske dozvole, lokalitet </w:t>
            </w:r>
            <w:proofErr w:type="spellStart"/>
            <w:r w:rsidRPr="003F7D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Osor-Matalda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21690" w14:textId="1711D487" w:rsidR="003F7D58" w:rsidRPr="003F7D58" w:rsidRDefault="00803986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85991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32.250,00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05E9" w14:textId="7875E3C9" w:rsidR="003F7D58" w:rsidRPr="003F7D58" w:rsidRDefault="00F15B11" w:rsidP="00CF31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Idejni projekt je izrađen te se čeka rješenje Ministarstva zaštite okoliša i zelene tranzicije.</w:t>
            </w:r>
          </w:p>
        </w:tc>
      </w:tr>
      <w:tr w:rsidR="003F7D58" w:rsidRPr="003F7D58" w14:paraId="03B76041" w14:textId="77777777" w:rsidTr="00341995">
        <w:trPr>
          <w:trHeight w:val="283"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62DDD0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GRADNJA CESTA UKUPNO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E47BCE" w14:textId="05AF5246" w:rsidR="003F7D58" w:rsidRPr="003F7D58" w:rsidRDefault="00BB5CBF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2,400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6E88CC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1.173.778,80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82B06E" w14:textId="0A1DB554" w:rsidR="003F7D58" w:rsidRPr="003F7D58" w:rsidRDefault="00C27ED3" w:rsidP="00C27E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  <w:tr w:rsidR="003F7D58" w:rsidRPr="003F7D58" w14:paraId="38A261C4" w14:textId="77777777" w:rsidTr="00341995">
        <w:trPr>
          <w:trHeight w:val="283"/>
          <w:jc w:val="center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CF44D7E" w14:textId="77777777" w:rsidR="003F7D58" w:rsidRPr="003F7D58" w:rsidRDefault="003F7D58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IZVANREDNO ODRŽAVANJE I GRADNJA CESTA SVEUKUPNO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4DB73C" w14:textId="2E27EF2F" w:rsidR="003F7D58" w:rsidRPr="003F7D58" w:rsidRDefault="00BB5CBF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4.660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7B582E" w14:textId="77777777" w:rsidR="003F7D58" w:rsidRPr="003F7D58" w:rsidRDefault="003F7D58" w:rsidP="003F7D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F7D5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2.799.984,39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1F2BF51" w14:textId="1CC83F7F" w:rsidR="003F7D58" w:rsidRPr="003F7D58" w:rsidRDefault="00C27ED3" w:rsidP="003F7D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</w:t>
            </w:r>
          </w:p>
        </w:tc>
      </w:tr>
    </w:tbl>
    <w:p w14:paraId="3C5D7F51" w14:textId="77777777" w:rsidR="001A34D4" w:rsidRDefault="001A34D4">
      <w:pPr>
        <w:spacing w:line="259" w:lineRule="auto"/>
        <w:rPr>
          <w:rFonts w:eastAsia="Calibri" w:cs="Calibri"/>
          <w:b/>
        </w:rPr>
      </w:pPr>
      <w:r>
        <w:rPr>
          <w:rFonts w:eastAsia="Calibri" w:cs="Calibri"/>
          <w:b/>
        </w:rPr>
        <w:br w:type="page"/>
      </w:r>
    </w:p>
    <w:p w14:paraId="3606A897" w14:textId="5A6E9B3A" w:rsidR="009D0BF9" w:rsidRDefault="00C120F3" w:rsidP="005806E9">
      <w:pPr>
        <w:spacing w:before="240" w:after="240" w:line="240" w:lineRule="auto"/>
        <w:jc w:val="both"/>
        <w:rPr>
          <w:rFonts w:eastAsia="Calibri" w:cs="Calibri"/>
          <w:b/>
        </w:rPr>
      </w:pPr>
      <w:r w:rsidRPr="006F0BAA">
        <w:rPr>
          <w:rFonts w:eastAsia="Calibri" w:cs="Calibri"/>
          <w:b/>
        </w:rPr>
        <w:lastRenderedPageBreak/>
        <w:t>RAZLOZI PRIJENOSA RADOV</w:t>
      </w:r>
      <w:r>
        <w:rPr>
          <w:rFonts w:eastAsia="Calibri" w:cs="Calibri"/>
          <w:b/>
        </w:rPr>
        <w:t xml:space="preserve">A </w:t>
      </w:r>
      <w:r w:rsidR="009D0BF9" w:rsidRPr="009D0BF9">
        <w:rPr>
          <w:rFonts w:eastAsia="Calibri" w:cs="Calibri"/>
          <w:b/>
        </w:rPr>
        <w:t>IZVANREDNOG ODRŽAVANJA I GRADNJE IZ 202</w:t>
      </w:r>
      <w:r w:rsidR="00636F0F">
        <w:rPr>
          <w:rFonts w:eastAsia="Calibri" w:cs="Calibri"/>
          <w:b/>
        </w:rPr>
        <w:t>5</w:t>
      </w:r>
      <w:r w:rsidR="009D0BF9" w:rsidRPr="009D0BF9">
        <w:rPr>
          <w:rFonts w:eastAsia="Calibri" w:cs="Calibri"/>
          <w:b/>
        </w:rPr>
        <w:t>. GODINE</w:t>
      </w:r>
      <w:r w:rsidR="009D0BF9">
        <w:rPr>
          <w:rFonts w:eastAsia="Calibri" w:cs="Calibri"/>
          <w:b/>
        </w:rPr>
        <w:t xml:space="preserve"> </w:t>
      </w:r>
      <w:r>
        <w:rPr>
          <w:rFonts w:eastAsia="Calibri" w:cs="Calibri"/>
          <w:b/>
        </w:rPr>
        <w:t>U 202</w:t>
      </w:r>
      <w:r w:rsidR="00636F0F">
        <w:rPr>
          <w:rFonts w:eastAsia="Calibri" w:cs="Calibri"/>
          <w:b/>
        </w:rPr>
        <w:t>6</w:t>
      </w:r>
      <w:r w:rsidR="00CF31CC">
        <w:rPr>
          <w:rFonts w:eastAsia="Calibri" w:cs="Calibri"/>
          <w:b/>
        </w:rPr>
        <w:t>. GODINU</w:t>
      </w:r>
    </w:p>
    <w:p w14:paraId="2FB12E2B" w14:textId="4980B43B" w:rsidR="00C120F3" w:rsidRDefault="00C120F3" w:rsidP="00944B9D">
      <w:pPr>
        <w:pStyle w:val="Odlomakpopisa"/>
        <w:numPr>
          <w:ilvl w:val="0"/>
          <w:numId w:val="12"/>
        </w:numPr>
        <w:spacing w:before="240" w:after="120" w:line="240" w:lineRule="auto"/>
        <w:ind w:left="227" w:hanging="227"/>
        <w:contextualSpacing w:val="0"/>
        <w:jc w:val="both"/>
        <w:rPr>
          <w:rFonts w:eastAsia="Calibri"/>
        </w:rPr>
      </w:pPr>
      <w:r w:rsidRPr="005169B3">
        <w:rPr>
          <w:rFonts w:eastAsia="Calibri"/>
        </w:rPr>
        <w:t>Prethodni z</w:t>
      </w:r>
      <w:r w:rsidR="00891ADD" w:rsidRPr="005169B3">
        <w:rPr>
          <w:rFonts w:eastAsia="Calibri"/>
        </w:rPr>
        <w:t>akonski</w:t>
      </w:r>
      <w:r w:rsidRPr="005169B3">
        <w:rPr>
          <w:rFonts w:eastAsia="Calibri"/>
        </w:rPr>
        <w:t xml:space="preserve"> i građevinski postupci </w:t>
      </w:r>
      <w:r w:rsidR="00726C31" w:rsidRPr="005169B3">
        <w:rPr>
          <w:rFonts w:eastAsia="Calibri"/>
        </w:rPr>
        <w:t>koj</w:t>
      </w:r>
      <w:r w:rsidRPr="005169B3">
        <w:rPr>
          <w:rFonts w:eastAsia="Calibri"/>
        </w:rPr>
        <w:t>i se prije početka radova provode/izvode od strane drugih tijela, nakon kojih Županijska uprava za ceste Primorsko-goranske županije obavlja radove:</w:t>
      </w:r>
    </w:p>
    <w:p w14:paraId="4FD4A449" w14:textId="571D2FF6" w:rsidR="00523617" w:rsidRDefault="00523617" w:rsidP="00CF31CC">
      <w:pPr>
        <w:pStyle w:val="Odlomakpopisa"/>
        <w:numPr>
          <w:ilvl w:val="0"/>
          <w:numId w:val="20"/>
        </w:numPr>
        <w:spacing w:before="120" w:after="0" w:line="240" w:lineRule="auto"/>
        <w:contextualSpacing w:val="0"/>
        <w:jc w:val="both"/>
        <w:rPr>
          <w:rFonts w:eastAsia="Calibri"/>
        </w:rPr>
      </w:pPr>
      <w:r>
        <w:rPr>
          <w:rFonts w:eastAsia="Calibri"/>
        </w:rPr>
        <w:t>ŽC</w:t>
      </w:r>
      <w:r w:rsidR="00527F4D">
        <w:rPr>
          <w:rFonts w:eastAsia="Calibri"/>
        </w:rPr>
        <w:t xml:space="preserve">5025 lokalitet Marinići </w:t>
      </w:r>
      <w:r w:rsidR="004860A7">
        <w:rPr>
          <w:rFonts w:eastAsia="Calibri"/>
        </w:rPr>
        <w:t xml:space="preserve">– Viškovo - </w:t>
      </w:r>
      <w:r>
        <w:rPr>
          <w:rFonts w:eastAsia="Calibri"/>
        </w:rPr>
        <w:t>sanacija završnog sloja asfalta</w:t>
      </w:r>
      <w:r w:rsidR="006010D7">
        <w:rPr>
          <w:rFonts w:eastAsia="Calibri"/>
        </w:rPr>
        <w:t>,</w:t>
      </w:r>
    </w:p>
    <w:p w14:paraId="4BF2BDE3" w14:textId="086AF0AC" w:rsidR="00636F0F" w:rsidRDefault="00527F4D" w:rsidP="00CF31CC">
      <w:pPr>
        <w:pStyle w:val="Odlomakpopisa"/>
        <w:numPr>
          <w:ilvl w:val="0"/>
          <w:numId w:val="20"/>
        </w:numPr>
        <w:jc w:val="both"/>
        <w:rPr>
          <w:rFonts w:eastAsia="Calibri"/>
        </w:rPr>
      </w:pPr>
      <w:r>
        <w:rPr>
          <w:rFonts w:eastAsia="Calibri"/>
        </w:rPr>
        <w:t>ŽC</w:t>
      </w:r>
      <w:r w:rsidR="00636F0F" w:rsidRPr="00636F0F">
        <w:rPr>
          <w:rFonts w:eastAsia="Calibri"/>
        </w:rPr>
        <w:t>5047</w:t>
      </w:r>
      <w:r>
        <w:rPr>
          <w:rFonts w:eastAsia="Calibri"/>
        </w:rPr>
        <w:t xml:space="preserve"> lokalitet </w:t>
      </w:r>
      <w:proofErr w:type="spellStart"/>
      <w:r>
        <w:rPr>
          <w:rFonts w:eastAsia="Calibri"/>
        </w:rPr>
        <w:t>a.g</w:t>
      </w:r>
      <w:proofErr w:type="spellEnd"/>
      <w:r>
        <w:rPr>
          <w:rFonts w:eastAsia="Calibri"/>
        </w:rPr>
        <w:t>. Općina Matulji - Belići -</w:t>
      </w:r>
      <w:r w:rsidR="00636F0F" w:rsidRPr="00636F0F">
        <w:rPr>
          <w:rFonts w:eastAsia="Calibri"/>
        </w:rPr>
        <w:t xml:space="preserve"> sanacija kolnika</w:t>
      </w:r>
      <w:r w:rsidR="007D66FF">
        <w:rPr>
          <w:rFonts w:eastAsia="Calibri"/>
        </w:rPr>
        <w:t>,</w:t>
      </w:r>
    </w:p>
    <w:p w14:paraId="49F556B6" w14:textId="0E4C062D" w:rsidR="007D66FF" w:rsidRDefault="00527F4D" w:rsidP="00527F4D">
      <w:pPr>
        <w:pStyle w:val="Odlomakpopisa"/>
        <w:numPr>
          <w:ilvl w:val="0"/>
          <w:numId w:val="20"/>
        </w:numPr>
        <w:ind w:left="340" w:hanging="170"/>
        <w:jc w:val="both"/>
        <w:rPr>
          <w:rFonts w:eastAsia="Calibri"/>
        </w:rPr>
      </w:pPr>
      <w:r>
        <w:rPr>
          <w:rFonts w:eastAsia="Calibri"/>
        </w:rPr>
        <w:t>ŽC</w:t>
      </w:r>
      <w:r w:rsidR="007D66FF">
        <w:rPr>
          <w:rFonts w:eastAsia="Calibri"/>
        </w:rPr>
        <w:t xml:space="preserve">5137 lokalitet </w:t>
      </w:r>
      <w:proofErr w:type="spellStart"/>
      <w:r w:rsidR="007D66FF">
        <w:rPr>
          <w:rFonts w:eastAsia="Calibri"/>
        </w:rPr>
        <w:t>Zaglav</w:t>
      </w:r>
      <w:proofErr w:type="spellEnd"/>
      <w:r>
        <w:rPr>
          <w:rFonts w:eastAsia="Calibri"/>
        </w:rPr>
        <w:t xml:space="preserve"> </w:t>
      </w:r>
      <w:r w:rsidR="007D66FF">
        <w:rPr>
          <w:rFonts w:eastAsia="Calibri"/>
        </w:rPr>
        <w:t>-</w:t>
      </w:r>
      <w:r>
        <w:rPr>
          <w:rFonts w:eastAsia="Calibri"/>
        </w:rPr>
        <w:t xml:space="preserve"> Martinšćica -</w:t>
      </w:r>
      <w:r w:rsidR="007D66FF">
        <w:rPr>
          <w:rFonts w:eastAsia="Calibri"/>
        </w:rPr>
        <w:t xml:space="preserve"> izrada idejnog projekta rekonstrukcije ceste, oborinske odvodnje i nogostupa s ishođenjem lokacijske dozvole</w:t>
      </w:r>
      <w:r w:rsidR="005806E9">
        <w:rPr>
          <w:rFonts w:eastAsia="Calibri"/>
        </w:rPr>
        <w:t>,</w:t>
      </w:r>
    </w:p>
    <w:p w14:paraId="5C0111B1" w14:textId="1483AEC1" w:rsidR="007D66FF" w:rsidRDefault="00527F4D" w:rsidP="00527F4D">
      <w:pPr>
        <w:pStyle w:val="Odlomakpopisa"/>
        <w:numPr>
          <w:ilvl w:val="0"/>
          <w:numId w:val="20"/>
        </w:numPr>
        <w:ind w:left="340" w:hanging="170"/>
        <w:jc w:val="both"/>
        <w:rPr>
          <w:rFonts w:eastAsia="Calibri"/>
        </w:rPr>
      </w:pPr>
      <w:r>
        <w:rPr>
          <w:rFonts w:eastAsia="Calibri"/>
        </w:rPr>
        <w:t>ŽC5206/ŽC5207 lokalitet Rešetari -</w:t>
      </w:r>
      <w:r w:rsidR="007D66FF">
        <w:rPr>
          <w:rFonts w:eastAsia="Calibri"/>
        </w:rPr>
        <w:t xml:space="preserve"> izrada glavnog projekta rekonstrukcije raskrižja u kružno raskrižje s ishođenjem </w:t>
      </w:r>
      <w:r w:rsidR="005806E9">
        <w:rPr>
          <w:rFonts w:eastAsia="Calibri"/>
        </w:rPr>
        <w:t>građevinske dozvole,</w:t>
      </w:r>
    </w:p>
    <w:p w14:paraId="183B387A" w14:textId="1EF72D6A" w:rsidR="005806E9" w:rsidRDefault="00527F4D" w:rsidP="00CF31CC">
      <w:pPr>
        <w:pStyle w:val="Odlomakpopisa"/>
        <w:numPr>
          <w:ilvl w:val="0"/>
          <w:numId w:val="20"/>
        </w:numPr>
        <w:jc w:val="both"/>
        <w:rPr>
          <w:rFonts w:eastAsia="Calibri"/>
        </w:rPr>
      </w:pPr>
      <w:r>
        <w:rPr>
          <w:rFonts w:eastAsia="Calibri"/>
        </w:rPr>
        <w:t xml:space="preserve">ŽC5219 </w:t>
      </w:r>
      <w:r w:rsidR="005806E9">
        <w:rPr>
          <w:rFonts w:eastAsia="Calibri"/>
        </w:rPr>
        <w:t>lokalitet Bribir</w:t>
      </w:r>
      <w:r>
        <w:rPr>
          <w:rFonts w:eastAsia="Calibri"/>
        </w:rPr>
        <w:t xml:space="preserve"> - Gornji </w:t>
      </w:r>
      <w:proofErr w:type="spellStart"/>
      <w:r>
        <w:rPr>
          <w:rFonts w:eastAsia="Calibri"/>
        </w:rPr>
        <w:t>Zagon</w:t>
      </w:r>
      <w:proofErr w:type="spellEnd"/>
      <w:r>
        <w:rPr>
          <w:rFonts w:eastAsia="Calibri"/>
        </w:rPr>
        <w:t xml:space="preserve"> -</w:t>
      </w:r>
      <w:r w:rsidR="005806E9">
        <w:rPr>
          <w:rFonts w:eastAsia="Calibri"/>
        </w:rPr>
        <w:t xml:space="preserve"> izrada idejnog projekta faznog održavanja sanacije ceste,</w:t>
      </w:r>
    </w:p>
    <w:p w14:paraId="53D9A9A1" w14:textId="5C84EF1D" w:rsidR="005806E9" w:rsidRDefault="00527F4D" w:rsidP="00527F4D">
      <w:pPr>
        <w:pStyle w:val="Odlomakpopisa"/>
        <w:numPr>
          <w:ilvl w:val="0"/>
          <w:numId w:val="20"/>
        </w:numPr>
        <w:ind w:left="340" w:hanging="170"/>
        <w:jc w:val="both"/>
        <w:rPr>
          <w:rFonts w:eastAsia="Calibri"/>
        </w:rPr>
      </w:pPr>
      <w:r>
        <w:rPr>
          <w:rFonts w:eastAsia="Calibri"/>
        </w:rPr>
        <w:t xml:space="preserve">LC58086 </w:t>
      </w:r>
      <w:r w:rsidR="005806E9">
        <w:rPr>
          <w:rFonts w:eastAsia="Calibri"/>
        </w:rPr>
        <w:t xml:space="preserve">lokalitet </w:t>
      </w:r>
      <w:proofErr w:type="spellStart"/>
      <w:r w:rsidR="005806E9">
        <w:rPr>
          <w:rFonts w:eastAsia="Calibri"/>
        </w:rPr>
        <w:t>Linardići</w:t>
      </w:r>
      <w:proofErr w:type="spellEnd"/>
      <w:r>
        <w:rPr>
          <w:rFonts w:eastAsia="Calibri"/>
        </w:rPr>
        <w:t xml:space="preserve"> </w:t>
      </w:r>
      <w:r w:rsidR="005806E9">
        <w:rPr>
          <w:rFonts w:eastAsia="Calibri"/>
        </w:rPr>
        <w:t>-</w:t>
      </w:r>
      <w:r>
        <w:rPr>
          <w:rFonts w:eastAsia="Calibri"/>
        </w:rPr>
        <w:t xml:space="preserve"> Brzac -</w:t>
      </w:r>
      <w:r w:rsidR="005806E9">
        <w:rPr>
          <w:rFonts w:eastAsia="Calibri"/>
        </w:rPr>
        <w:t xml:space="preserve"> izrada idejnog projekta s ishođenjem lokacijske dozvole za izgradnju spojne ceste,</w:t>
      </w:r>
    </w:p>
    <w:p w14:paraId="2E1837A2" w14:textId="3DA87754" w:rsidR="005806E9" w:rsidRDefault="00527F4D" w:rsidP="00CF31CC">
      <w:pPr>
        <w:pStyle w:val="Odlomakpopisa"/>
        <w:numPr>
          <w:ilvl w:val="0"/>
          <w:numId w:val="20"/>
        </w:numPr>
        <w:spacing w:after="120" w:line="240" w:lineRule="auto"/>
        <w:contextualSpacing w:val="0"/>
        <w:jc w:val="both"/>
        <w:rPr>
          <w:rFonts w:eastAsia="Calibri"/>
        </w:rPr>
      </w:pPr>
      <w:r>
        <w:rPr>
          <w:rFonts w:eastAsia="Calibri"/>
        </w:rPr>
        <w:t xml:space="preserve">LC58101 </w:t>
      </w:r>
      <w:r w:rsidR="005806E9">
        <w:rPr>
          <w:rFonts w:eastAsia="Calibri"/>
        </w:rPr>
        <w:t xml:space="preserve">lokalitet </w:t>
      </w:r>
      <w:proofErr w:type="spellStart"/>
      <w:r w:rsidR="005806E9">
        <w:rPr>
          <w:rFonts w:eastAsia="Calibri"/>
        </w:rPr>
        <w:t>Osor</w:t>
      </w:r>
      <w:proofErr w:type="spellEnd"/>
      <w:r>
        <w:rPr>
          <w:rFonts w:eastAsia="Calibri"/>
        </w:rPr>
        <w:t xml:space="preserve"> </w:t>
      </w:r>
      <w:r w:rsidR="005806E9">
        <w:rPr>
          <w:rFonts w:eastAsia="Calibri"/>
        </w:rPr>
        <w:t>-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Matalda</w:t>
      </w:r>
      <w:proofErr w:type="spellEnd"/>
      <w:r>
        <w:rPr>
          <w:rFonts w:eastAsia="Calibri"/>
        </w:rPr>
        <w:t xml:space="preserve"> -</w:t>
      </w:r>
      <w:r w:rsidR="005806E9">
        <w:rPr>
          <w:rFonts w:eastAsia="Calibri"/>
        </w:rPr>
        <w:t xml:space="preserve"> izrada idejnog projekta sa ishođenjem lokacijske dozvole.</w:t>
      </w:r>
    </w:p>
    <w:p w14:paraId="463FE8EF" w14:textId="196BA3F7" w:rsidR="00C120F3" w:rsidRPr="005169B3" w:rsidRDefault="00C120F3" w:rsidP="00944B9D">
      <w:pPr>
        <w:pStyle w:val="Odlomakpopisa"/>
        <w:numPr>
          <w:ilvl w:val="0"/>
          <w:numId w:val="12"/>
        </w:numPr>
        <w:spacing w:before="120" w:after="120" w:line="240" w:lineRule="auto"/>
        <w:ind w:left="227" w:hanging="227"/>
        <w:contextualSpacing w:val="0"/>
        <w:jc w:val="both"/>
        <w:rPr>
          <w:rFonts w:eastAsia="Calibri"/>
        </w:rPr>
      </w:pPr>
      <w:r w:rsidRPr="005169B3">
        <w:rPr>
          <w:rFonts w:eastAsia="Calibri"/>
        </w:rPr>
        <w:t>Provedba postup</w:t>
      </w:r>
      <w:r w:rsidR="001D54E9">
        <w:rPr>
          <w:rFonts w:eastAsia="Calibri"/>
        </w:rPr>
        <w:t xml:space="preserve">aka </w:t>
      </w:r>
      <w:r w:rsidR="00636F0F">
        <w:rPr>
          <w:rFonts w:eastAsia="Calibri"/>
        </w:rPr>
        <w:t xml:space="preserve">javne i jednostavne </w:t>
      </w:r>
      <w:r w:rsidR="001D54E9">
        <w:rPr>
          <w:rFonts w:eastAsia="Calibri"/>
        </w:rPr>
        <w:t>nabave krajem godine</w:t>
      </w:r>
      <w:r w:rsidRPr="005169B3">
        <w:rPr>
          <w:rFonts w:eastAsia="Calibri"/>
        </w:rPr>
        <w:t xml:space="preserve"> nakon prihvaćenih II. Izmjena i dopuna financijskog plana za 202</w:t>
      </w:r>
      <w:r w:rsidR="00A9128A">
        <w:rPr>
          <w:rFonts w:eastAsia="Calibri"/>
        </w:rPr>
        <w:t>5</w:t>
      </w:r>
      <w:r w:rsidR="006010D7">
        <w:rPr>
          <w:rFonts w:eastAsia="Calibri"/>
        </w:rPr>
        <w:t>. godinu koja je donesena</w:t>
      </w:r>
      <w:r w:rsidRPr="005169B3">
        <w:rPr>
          <w:rFonts w:eastAsia="Calibri"/>
        </w:rPr>
        <w:t xml:space="preserve"> u </w:t>
      </w:r>
      <w:r w:rsidR="00A9128A">
        <w:rPr>
          <w:rFonts w:eastAsia="Calibri"/>
        </w:rPr>
        <w:t>prosincu</w:t>
      </w:r>
      <w:r w:rsidR="00743844" w:rsidRPr="005169B3">
        <w:rPr>
          <w:rFonts w:eastAsia="Calibri"/>
        </w:rPr>
        <w:t xml:space="preserve"> </w:t>
      </w:r>
      <w:r w:rsidRPr="005169B3">
        <w:rPr>
          <w:rFonts w:eastAsia="Calibri"/>
        </w:rPr>
        <w:t>202</w:t>
      </w:r>
      <w:r w:rsidR="00A9128A">
        <w:rPr>
          <w:rFonts w:eastAsia="Calibri"/>
        </w:rPr>
        <w:t>5</w:t>
      </w:r>
      <w:r w:rsidRPr="005169B3">
        <w:rPr>
          <w:rFonts w:eastAsia="Calibri"/>
        </w:rPr>
        <w:t>. godine:</w:t>
      </w:r>
    </w:p>
    <w:p w14:paraId="1776133E" w14:textId="2F9DE989" w:rsidR="00726C31" w:rsidRDefault="00527F4D" w:rsidP="00944B9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ŽC5139 lokalitet Rab - </w:t>
      </w:r>
      <w:r w:rsidR="00636F0F">
        <w:rPr>
          <w:rFonts w:eastAsia="Calibri"/>
        </w:rPr>
        <w:t>sanacija kolnika i nogostupa,</w:t>
      </w:r>
    </w:p>
    <w:p w14:paraId="454A31AF" w14:textId="1D3C3F3B" w:rsidR="00636F0F" w:rsidRDefault="00527F4D" w:rsidP="00527F4D">
      <w:pPr>
        <w:pStyle w:val="Odlomakpopisa"/>
        <w:numPr>
          <w:ilvl w:val="0"/>
          <w:numId w:val="13"/>
        </w:numPr>
        <w:spacing w:after="0" w:line="240" w:lineRule="auto"/>
        <w:ind w:left="340" w:hanging="170"/>
        <w:jc w:val="both"/>
        <w:rPr>
          <w:rFonts w:eastAsia="Calibri"/>
        </w:rPr>
      </w:pPr>
      <w:r>
        <w:rPr>
          <w:rFonts w:eastAsia="Calibri"/>
        </w:rPr>
        <w:t xml:space="preserve">ŽC5022, LC58014 i LC58109 lokalitet Klana - </w:t>
      </w:r>
      <w:r w:rsidR="00636F0F">
        <w:rPr>
          <w:rFonts w:eastAsia="Calibri"/>
        </w:rPr>
        <w:t>prometno građevinski projekt za povećanje sigurnosti prometa,</w:t>
      </w:r>
    </w:p>
    <w:p w14:paraId="557EF47E" w14:textId="4EB716EE" w:rsidR="00636F0F" w:rsidRDefault="00527F4D" w:rsidP="00944B9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ŽC</w:t>
      </w:r>
      <w:r w:rsidR="00636F0F">
        <w:rPr>
          <w:rFonts w:eastAsia="Calibri"/>
        </w:rPr>
        <w:t xml:space="preserve">5016 lokalitet </w:t>
      </w:r>
      <w:proofErr w:type="spellStart"/>
      <w:r w:rsidR="00636F0F">
        <w:rPr>
          <w:rFonts w:eastAsia="Calibri"/>
        </w:rPr>
        <w:t>Mučići</w:t>
      </w:r>
      <w:proofErr w:type="spellEnd"/>
      <w:r w:rsidR="004860A7">
        <w:rPr>
          <w:rFonts w:eastAsia="Calibri"/>
        </w:rPr>
        <w:t xml:space="preserve"> </w:t>
      </w:r>
      <w:r w:rsidR="00636F0F">
        <w:rPr>
          <w:rFonts w:eastAsia="Calibri"/>
        </w:rPr>
        <w:t>-</w:t>
      </w:r>
      <w:r w:rsidR="004860A7">
        <w:rPr>
          <w:rFonts w:eastAsia="Calibri"/>
        </w:rPr>
        <w:t xml:space="preserve"> Klana -</w:t>
      </w:r>
      <w:r w:rsidR="00636F0F">
        <w:rPr>
          <w:rFonts w:eastAsia="Calibri"/>
        </w:rPr>
        <w:t xml:space="preserve"> postavljanje odbojne ograde,</w:t>
      </w:r>
    </w:p>
    <w:p w14:paraId="3D7EA1AE" w14:textId="01EC6C17" w:rsidR="00636F0F" w:rsidRDefault="00636F0F" w:rsidP="00944B9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eastAsia="Calibri"/>
        </w:rPr>
      </w:pPr>
      <w:r w:rsidRPr="00636F0F">
        <w:rPr>
          <w:rFonts w:eastAsia="Calibri"/>
        </w:rPr>
        <w:t>ŽC5050 lokalitet Liganj</w:t>
      </w:r>
      <w:r w:rsidR="00527F4D">
        <w:rPr>
          <w:rFonts w:eastAsia="Calibri"/>
        </w:rPr>
        <w:t xml:space="preserve"> </w:t>
      </w:r>
      <w:r w:rsidR="004860A7">
        <w:rPr>
          <w:rFonts w:eastAsia="Calibri"/>
        </w:rPr>
        <w:t>–</w:t>
      </w:r>
      <w:r w:rsidR="00527F4D">
        <w:rPr>
          <w:rFonts w:eastAsia="Calibri"/>
        </w:rPr>
        <w:t xml:space="preserve"> </w:t>
      </w:r>
      <w:r w:rsidR="004860A7">
        <w:rPr>
          <w:rFonts w:eastAsia="Calibri"/>
        </w:rPr>
        <w:t xml:space="preserve">Lovran - </w:t>
      </w:r>
      <w:r w:rsidRPr="00636F0F">
        <w:rPr>
          <w:rFonts w:eastAsia="Calibri"/>
        </w:rPr>
        <w:t>postavljanja odbojne ograde</w:t>
      </w:r>
      <w:r>
        <w:rPr>
          <w:rFonts w:eastAsia="Calibri"/>
        </w:rPr>
        <w:t>,</w:t>
      </w:r>
    </w:p>
    <w:p w14:paraId="4F258173" w14:textId="2664C6F5" w:rsidR="00636F0F" w:rsidRDefault="00636F0F" w:rsidP="00527F4D">
      <w:pPr>
        <w:pStyle w:val="Odlomakpopisa"/>
        <w:numPr>
          <w:ilvl w:val="0"/>
          <w:numId w:val="13"/>
        </w:numPr>
        <w:spacing w:after="0" w:line="240" w:lineRule="auto"/>
        <w:ind w:left="340" w:hanging="170"/>
        <w:jc w:val="both"/>
        <w:rPr>
          <w:rFonts w:eastAsia="Calibri"/>
        </w:rPr>
      </w:pPr>
      <w:r w:rsidRPr="00636F0F">
        <w:rPr>
          <w:rFonts w:eastAsia="Calibri"/>
        </w:rPr>
        <w:t>ŽC5068 lokalitet Ružić Selo</w:t>
      </w:r>
      <w:r w:rsidR="00527F4D">
        <w:rPr>
          <w:rFonts w:eastAsia="Calibri"/>
        </w:rPr>
        <w:t xml:space="preserve"> </w:t>
      </w:r>
      <w:r w:rsidRPr="00636F0F">
        <w:rPr>
          <w:rFonts w:eastAsia="Calibri"/>
        </w:rPr>
        <w:t>-</w:t>
      </w:r>
      <w:r w:rsidR="00527F4D">
        <w:rPr>
          <w:rFonts w:eastAsia="Calibri"/>
        </w:rPr>
        <w:t xml:space="preserve"> </w:t>
      </w:r>
      <w:r w:rsidRPr="00636F0F">
        <w:rPr>
          <w:rFonts w:eastAsia="Calibri"/>
        </w:rPr>
        <w:t xml:space="preserve">Zlobin, </w:t>
      </w:r>
      <w:r w:rsidR="00527F4D">
        <w:rPr>
          <w:rFonts w:eastAsia="Calibri"/>
        </w:rPr>
        <w:t>interventne mjere i zahvati</w:t>
      </w:r>
      <w:r w:rsidR="004860A7">
        <w:rPr>
          <w:rFonts w:eastAsia="Calibri"/>
        </w:rPr>
        <w:t xml:space="preserve"> -</w:t>
      </w:r>
      <w:r w:rsidR="00527F4D">
        <w:rPr>
          <w:rFonts w:eastAsia="Calibri"/>
        </w:rPr>
        <w:t xml:space="preserve"> izvedbeni </w:t>
      </w:r>
      <w:r w:rsidRPr="00636F0F">
        <w:rPr>
          <w:rFonts w:eastAsia="Calibri"/>
        </w:rPr>
        <w:t xml:space="preserve">projekt sa statičkim proračunom, sanacija kolnika i potpornog </w:t>
      </w:r>
      <w:r w:rsidR="00527F4D">
        <w:rPr>
          <w:rFonts w:eastAsia="Calibri"/>
        </w:rPr>
        <w:t xml:space="preserve">zida, te </w:t>
      </w:r>
      <w:r w:rsidRPr="00636F0F">
        <w:rPr>
          <w:rFonts w:eastAsia="Calibri"/>
        </w:rPr>
        <w:t>nadzor</w:t>
      </w:r>
      <w:r w:rsidR="005806E9">
        <w:rPr>
          <w:rFonts w:eastAsia="Calibri"/>
        </w:rPr>
        <w:t>,</w:t>
      </w:r>
    </w:p>
    <w:p w14:paraId="67EF6FFF" w14:textId="68716134" w:rsidR="00636F0F" w:rsidRDefault="00527F4D" w:rsidP="00944B9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ŽC5034 lokalitet Vrbovsko - </w:t>
      </w:r>
      <w:r w:rsidR="004860A7">
        <w:rPr>
          <w:rFonts w:eastAsia="Calibri"/>
        </w:rPr>
        <w:t>izrada</w:t>
      </w:r>
      <w:r w:rsidR="00636F0F" w:rsidRPr="00636F0F">
        <w:rPr>
          <w:rFonts w:eastAsia="Calibri"/>
        </w:rPr>
        <w:t xml:space="preserve"> tehničkog rješenja sanacije jedne vozne trake</w:t>
      </w:r>
      <w:r w:rsidR="005806E9">
        <w:rPr>
          <w:rFonts w:eastAsia="Calibri"/>
        </w:rPr>
        <w:t>,</w:t>
      </w:r>
    </w:p>
    <w:p w14:paraId="1FB55A73" w14:textId="471E3693" w:rsidR="00636F0F" w:rsidRDefault="00636F0F" w:rsidP="004860A7">
      <w:pPr>
        <w:pStyle w:val="Odlomakpopisa"/>
        <w:numPr>
          <w:ilvl w:val="0"/>
          <w:numId w:val="13"/>
        </w:numPr>
        <w:spacing w:after="0" w:line="240" w:lineRule="auto"/>
        <w:ind w:left="340" w:hanging="170"/>
        <w:jc w:val="both"/>
        <w:rPr>
          <w:rFonts w:eastAsia="Calibri"/>
        </w:rPr>
      </w:pPr>
      <w:r w:rsidRPr="00636F0F">
        <w:rPr>
          <w:rFonts w:eastAsia="Calibri"/>
        </w:rPr>
        <w:t xml:space="preserve">ŽC5068 lokalitet </w:t>
      </w:r>
      <w:proofErr w:type="spellStart"/>
      <w:r w:rsidRPr="00636F0F">
        <w:rPr>
          <w:rFonts w:eastAsia="Calibri"/>
        </w:rPr>
        <w:t>Melnice</w:t>
      </w:r>
      <w:proofErr w:type="spellEnd"/>
      <w:r w:rsidR="004860A7">
        <w:rPr>
          <w:rFonts w:eastAsia="Calibri"/>
        </w:rPr>
        <w:t xml:space="preserve"> </w:t>
      </w:r>
      <w:r w:rsidRPr="00636F0F">
        <w:rPr>
          <w:rFonts w:eastAsia="Calibri"/>
        </w:rPr>
        <w:t>-</w:t>
      </w:r>
      <w:r w:rsidR="004860A7">
        <w:rPr>
          <w:rFonts w:eastAsia="Calibri"/>
        </w:rPr>
        <w:t xml:space="preserve"> priključak Janaf - izrada</w:t>
      </w:r>
      <w:r w:rsidRPr="00636F0F">
        <w:rPr>
          <w:rFonts w:eastAsia="Calibri"/>
        </w:rPr>
        <w:t xml:space="preserve"> izvedbenog projekta sanacije kolnika te rješavanje oborinske odvodnje</w:t>
      </w:r>
      <w:r w:rsidR="005806E9">
        <w:rPr>
          <w:rFonts w:eastAsia="Calibri"/>
        </w:rPr>
        <w:t>,</w:t>
      </w:r>
    </w:p>
    <w:p w14:paraId="2C48C78C" w14:textId="6145EB4D" w:rsidR="00636F0F" w:rsidRDefault="00636F0F" w:rsidP="00944B9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eastAsia="Calibri"/>
        </w:rPr>
      </w:pPr>
      <w:r w:rsidRPr="00636F0F">
        <w:rPr>
          <w:rFonts w:eastAsia="Calibri"/>
        </w:rPr>
        <w:t xml:space="preserve">ŽC5031 lokalitet Donji </w:t>
      </w:r>
      <w:proofErr w:type="spellStart"/>
      <w:r w:rsidRPr="00636F0F">
        <w:rPr>
          <w:rFonts w:eastAsia="Calibri"/>
        </w:rPr>
        <w:t>Žagari</w:t>
      </w:r>
      <w:proofErr w:type="spellEnd"/>
      <w:r w:rsidR="004860A7">
        <w:rPr>
          <w:rFonts w:eastAsia="Calibri"/>
        </w:rPr>
        <w:t xml:space="preserve"> – Čabar - </w:t>
      </w:r>
      <w:r w:rsidRPr="00636F0F">
        <w:rPr>
          <w:rFonts w:eastAsia="Calibri"/>
        </w:rPr>
        <w:t xml:space="preserve">usluge snimanja </w:t>
      </w:r>
      <w:proofErr w:type="spellStart"/>
      <w:r w:rsidRPr="00636F0F">
        <w:rPr>
          <w:rFonts w:eastAsia="Calibri"/>
        </w:rPr>
        <w:t>georadarom</w:t>
      </w:r>
      <w:proofErr w:type="spellEnd"/>
      <w:r w:rsidRPr="00636F0F">
        <w:rPr>
          <w:rFonts w:eastAsia="Calibri"/>
        </w:rPr>
        <w:t xml:space="preserve"> </w:t>
      </w:r>
      <w:proofErr w:type="spellStart"/>
      <w:r w:rsidRPr="00636F0F">
        <w:rPr>
          <w:rFonts w:eastAsia="Calibri"/>
        </w:rPr>
        <w:t>stac</w:t>
      </w:r>
      <w:proofErr w:type="spellEnd"/>
      <w:r w:rsidRPr="00636F0F">
        <w:rPr>
          <w:rFonts w:eastAsia="Calibri"/>
        </w:rPr>
        <w:t>. 3+600</w:t>
      </w:r>
      <w:r w:rsidR="005806E9">
        <w:rPr>
          <w:rFonts w:eastAsia="Calibri"/>
        </w:rPr>
        <w:t>,</w:t>
      </w:r>
    </w:p>
    <w:p w14:paraId="460AEF22" w14:textId="5260CD00" w:rsidR="00636F0F" w:rsidRDefault="00636F0F" w:rsidP="004860A7">
      <w:pPr>
        <w:pStyle w:val="Odlomakpopisa"/>
        <w:numPr>
          <w:ilvl w:val="0"/>
          <w:numId w:val="13"/>
        </w:numPr>
        <w:spacing w:after="0" w:line="240" w:lineRule="auto"/>
        <w:ind w:left="340" w:hanging="170"/>
        <w:jc w:val="both"/>
        <w:rPr>
          <w:rFonts w:eastAsia="Calibri"/>
        </w:rPr>
      </w:pPr>
      <w:r w:rsidRPr="00636F0F">
        <w:rPr>
          <w:rFonts w:eastAsia="Calibri"/>
        </w:rPr>
        <w:t xml:space="preserve">ŽC5185 lokalitet </w:t>
      </w:r>
      <w:proofErr w:type="spellStart"/>
      <w:r w:rsidRPr="00636F0F">
        <w:rPr>
          <w:rFonts w:eastAsia="Calibri"/>
        </w:rPr>
        <w:t>Smrekari</w:t>
      </w:r>
      <w:proofErr w:type="spellEnd"/>
      <w:r w:rsidR="004860A7">
        <w:rPr>
          <w:rFonts w:eastAsia="Calibri"/>
        </w:rPr>
        <w:t xml:space="preserve"> </w:t>
      </w:r>
      <w:r w:rsidRPr="00636F0F">
        <w:rPr>
          <w:rFonts w:eastAsia="Calibri"/>
        </w:rPr>
        <w:t>-</w:t>
      </w:r>
      <w:r w:rsidR="004860A7">
        <w:rPr>
          <w:rFonts w:eastAsia="Calibri"/>
        </w:rPr>
        <w:t xml:space="preserve"> </w:t>
      </w:r>
      <w:r w:rsidRPr="00636F0F">
        <w:rPr>
          <w:rFonts w:eastAsia="Calibri"/>
        </w:rPr>
        <w:t>Mali L</w:t>
      </w:r>
      <w:r w:rsidR="004860A7">
        <w:rPr>
          <w:rFonts w:eastAsia="Calibri"/>
        </w:rPr>
        <w:t xml:space="preserve">ug - </w:t>
      </w:r>
      <w:r w:rsidRPr="00636F0F">
        <w:rPr>
          <w:rFonts w:eastAsia="Calibri"/>
        </w:rPr>
        <w:t>izrada gl</w:t>
      </w:r>
      <w:r w:rsidR="005806E9">
        <w:rPr>
          <w:rFonts w:eastAsia="Calibri"/>
        </w:rPr>
        <w:t xml:space="preserve">avnog </w:t>
      </w:r>
      <w:r w:rsidRPr="00636F0F">
        <w:rPr>
          <w:rFonts w:eastAsia="Calibri"/>
        </w:rPr>
        <w:t xml:space="preserve">projekta s ishođenjem građevinske dozvole za sanaciju klizišta </w:t>
      </w:r>
      <w:proofErr w:type="spellStart"/>
      <w:r w:rsidRPr="00636F0F">
        <w:rPr>
          <w:rFonts w:eastAsia="Calibri"/>
        </w:rPr>
        <w:t>stac</w:t>
      </w:r>
      <w:proofErr w:type="spellEnd"/>
      <w:r w:rsidRPr="00636F0F">
        <w:rPr>
          <w:rFonts w:eastAsia="Calibri"/>
        </w:rPr>
        <w:t>.</w:t>
      </w:r>
      <w:r w:rsidR="004860A7">
        <w:rPr>
          <w:rFonts w:eastAsia="Calibri"/>
        </w:rPr>
        <w:t xml:space="preserve"> </w:t>
      </w:r>
      <w:r w:rsidRPr="00636F0F">
        <w:rPr>
          <w:rFonts w:eastAsia="Calibri"/>
        </w:rPr>
        <w:t>3+890</w:t>
      </w:r>
      <w:r w:rsidR="005806E9">
        <w:rPr>
          <w:rFonts w:eastAsia="Calibri"/>
        </w:rPr>
        <w:t>,</w:t>
      </w:r>
    </w:p>
    <w:p w14:paraId="37D6CA2A" w14:textId="34149E90" w:rsidR="00636F0F" w:rsidRDefault="00636F0F" w:rsidP="00944B9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eastAsia="Calibri"/>
        </w:rPr>
      </w:pPr>
      <w:r w:rsidRPr="00636F0F">
        <w:rPr>
          <w:rFonts w:eastAsia="Calibri"/>
        </w:rPr>
        <w:t xml:space="preserve">ŽC5185 lokalitet </w:t>
      </w:r>
      <w:proofErr w:type="spellStart"/>
      <w:r w:rsidRPr="00636F0F">
        <w:rPr>
          <w:rFonts w:eastAsia="Calibri"/>
        </w:rPr>
        <w:t>Smrekari</w:t>
      </w:r>
      <w:proofErr w:type="spellEnd"/>
      <w:r w:rsidR="004860A7">
        <w:rPr>
          <w:rFonts w:eastAsia="Calibri"/>
        </w:rPr>
        <w:t xml:space="preserve"> </w:t>
      </w:r>
      <w:r w:rsidRPr="00636F0F">
        <w:rPr>
          <w:rFonts w:eastAsia="Calibri"/>
        </w:rPr>
        <w:t>-</w:t>
      </w:r>
      <w:r w:rsidR="004860A7">
        <w:rPr>
          <w:rFonts w:eastAsia="Calibri"/>
        </w:rPr>
        <w:t xml:space="preserve"> Mali Lug -</w:t>
      </w:r>
      <w:r w:rsidRPr="00636F0F">
        <w:rPr>
          <w:rFonts w:eastAsia="Calibri"/>
        </w:rPr>
        <w:t xml:space="preserve"> revizija glavnog projekta sanacije klizišta </w:t>
      </w:r>
      <w:proofErr w:type="spellStart"/>
      <w:r w:rsidRPr="00636F0F">
        <w:rPr>
          <w:rFonts w:eastAsia="Calibri"/>
        </w:rPr>
        <w:t>stac</w:t>
      </w:r>
      <w:proofErr w:type="spellEnd"/>
      <w:r w:rsidRPr="00636F0F">
        <w:rPr>
          <w:rFonts w:eastAsia="Calibri"/>
        </w:rPr>
        <w:t>.</w:t>
      </w:r>
      <w:r w:rsidR="004860A7">
        <w:rPr>
          <w:rFonts w:eastAsia="Calibri"/>
        </w:rPr>
        <w:t xml:space="preserve"> </w:t>
      </w:r>
      <w:r w:rsidRPr="00636F0F">
        <w:rPr>
          <w:rFonts w:eastAsia="Calibri"/>
        </w:rPr>
        <w:t>3+890</w:t>
      </w:r>
      <w:r w:rsidR="005806E9">
        <w:rPr>
          <w:rFonts w:eastAsia="Calibri"/>
        </w:rPr>
        <w:t>,</w:t>
      </w:r>
    </w:p>
    <w:p w14:paraId="54658B73" w14:textId="10883BCF" w:rsidR="00636F0F" w:rsidRDefault="00636F0F" w:rsidP="004860A7">
      <w:pPr>
        <w:pStyle w:val="Odlomakpopisa"/>
        <w:numPr>
          <w:ilvl w:val="0"/>
          <w:numId w:val="13"/>
        </w:numPr>
        <w:spacing w:after="0" w:line="240" w:lineRule="auto"/>
        <w:ind w:left="340" w:hanging="170"/>
        <w:jc w:val="both"/>
        <w:rPr>
          <w:rFonts w:eastAsia="Calibri"/>
        </w:rPr>
      </w:pPr>
      <w:r w:rsidRPr="00636F0F">
        <w:rPr>
          <w:rFonts w:eastAsia="Calibri"/>
        </w:rPr>
        <w:t>ŽC/LC</w:t>
      </w:r>
      <w:r w:rsidR="004860A7">
        <w:rPr>
          <w:rFonts w:eastAsia="Calibri"/>
        </w:rPr>
        <w:t xml:space="preserve"> </w:t>
      </w:r>
      <w:r w:rsidRPr="00636F0F">
        <w:rPr>
          <w:rFonts w:eastAsia="Calibri"/>
        </w:rPr>
        <w:t>-</w:t>
      </w:r>
      <w:r w:rsidR="004860A7">
        <w:rPr>
          <w:rFonts w:eastAsia="Calibri"/>
        </w:rPr>
        <w:t xml:space="preserve"> </w:t>
      </w:r>
      <w:r w:rsidRPr="00636F0F">
        <w:rPr>
          <w:rFonts w:eastAsia="Calibri"/>
        </w:rPr>
        <w:t xml:space="preserve">snimanje </w:t>
      </w:r>
      <w:proofErr w:type="spellStart"/>
      <w:r w:rsidRPr="00636F0F">
        <w:rPr>
          <w:rFonts w:eastAsia="Calibri"/>
        </w:rPr>
        <w:t>stereoparovima</w:t>
      </w:r>
      <w:proofErr w:type="spellEnd"/>
      <w:r w:rsidRPr="00636F0F">
        <w:rPr>
          <w:rFonts w:eastAsia="Calibri"/>
        </w:rPr>
        <w:t xml:space="preserve"> cjelokupne mreže ŽC/LC i dostava snimaka/ažuriranje podat</w:t>
      </w:r>
      <w:r w:rsidR="005806E9">
        <w:rPr>
          <w:rFonts w:eastAsia="Calibri"/>
        </w:rPr>
        <w:t xml:space="preserve">aka </w:t>
      </w:r>
      <w:r w:rsidRPr="00636F0F">
        <w:rPr>
          <w:rFonts w:eastAsia="Calibri"/>
        </w:rPr>
        <w:t>o površinama pješ</w:t>
      </w:r>
      <w:r w:rsidR="005806E9">
        <w:rPr>
          <w:rFonts w:eastAsia="Calibri"/>
        </w:rPr>
        <w:t xml:space="preserve">ačkih </w:t>
      </w:r>
      <w:r w:rsidRPr="00636F0F">
        <w:rPr>
          <w:rFonts w:eastAsia="Calibri"/>
        </w:rPr>
        <w:t>prijelaza</w:t>
      </w:r>
      <w:r w:rsidR="007D66FF">
        <w:rPr>
          <w:rFonts w:eastAsia="Calibri"/>
        </w:rPr>
        <w:t>,</w:t>
      </w:r>
    </w:p>
    <w:p w14:paraId="733EE7CB" w14:textId="733D3A43" w:rsidR="007D66FF" w:rsidRDefault="004860A7" w:rsidP="00944B9D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ŽC5016 lokalitet Breza -</w:t>
      </w:r>
      <w:r w:rsidR="007D66FF" w:rsidRPr="007D66FF">
        <w:rPr>
          <w:rFonts w:eastAsia="Calibri"/>
        </w:rPr>
        <w:t xml:space="preserve"> izrada idejnog projekta sa ishođenjem lokacijske dozvole</w:t>
      </w:r>
      <w:r w:rsidR="00EB09A9">
        <w:rPr>
          <w:rFonts w:eastAsia="Calibri"/>
        </w:rPr>
        <w:t>,</w:t>
      </w:r>
    </w:p>
    <w:p w14:paraId="339A74AA" w14:textId="1DBCE391" w:rsidR="007D66FF" w:rsidRDefault="007D66FF" w:rsidP="004860A7">
      <w:pPr>
        <w:pStyle w:val="Odlomakpopisa"/>
        <w:numPr>
          <w:ilvl w:val="0"/>
          <w:numId w:val="13"/>
        </w:numPr>
        <w:spacing w:after="0" w:line="240" w:lineRule="auto"/>
        <w:ind w:left="340" w:hanging="170"/>
        <w:jc w:val="both"/>
        <w:rPr>
          <w:rFonts w:eastAsia="Calibri"/>
        </w:rPr>
      </w:pPr>
      <w:r w:rsidRPr="007D66FF">
        <w:rPr>
          <w:rFonts w:eastAsia="Calibri"/>
        </w:rPr>
        <w:t xml:space="preserve">ŽC5055 lokalitet </w:t>
      </w:r>
      <w:proofErr w:type="spellStart"/>
      <w:r w:rsidRPr="007D66FF">
        <w:rPr>
          <w:rFonts w:eastAsia="Calibri"/>
        </w:rPr>
        <w:t>Zastenice</w:t>
      </w:r>
      <w:proofErr w:type="spellEnd"/>
      <w:r w:rsidR="004860A7">
        <w:rPr>
          <w:rFonts w:eastAsia="Calibri"/>
        </w:rPr>
        <w:t xml:space="preserve"> – Dražice - </w:t>
      </w:r>
      <w:r w:rsidRPr="007D66FF">
        <w:rPr>
          <w:rFonts w:eastAsia="Calibri"/>
        </w:rPr>
        <w:t>izrada idejnog projekta ceste, nogostupa i bic</w:t>
      </w:r>
      <w:r w:rsidR="00EB09A9">
        <w:rPr>
          <w:rFonts w:eastAsia="Calibri"/>
        </w:rPr>
        <w:t>iklističke</w:t>
      </w:r>
      <w:r w:rsidR="004860A7">
        <w:rPr>
          <w:rFonts w:eastAsia="Calibri"/>
        </w:rPr>
        <w:t xml:space="preserve"> staze s</w:t>
      </w:r>
      <w:r w:rsidRPr="007D66FF">
        <w:rPr>
          <w:rFonts w:eastAsia="Calibri"/>
        </w:rPr>
        <w:t xml:space="preserve"> ishođenjem lokacijske dozv</w:t>
      </w:r>
      <w:r w:rsidR="00EB09A9">
        <w:rPr>
          <w:rFonts w:eastAsia="Calibri"/>
        </w:rPr>
        <w:t>ole,</w:t>
      </w:r>
    </w:p>
    <w:p w14:paraId="05ED1136" w14:textId="1ED8BE93" w:rsidR="007D66FF" w:rsidRDefault="007D66FF" w:rsidP="004860A7">
      <w:pPr>
        <w:pStyle w:val="Odlomakpopisa"/>
        <w:numPr>
          <w:ilvl w:val="0"/>
          <w:numId w:val="13"/>
        </w:numPr>
        <w:spacing w:after="0" w:line="240" w:lineRule="auto"/>
        <w:ind w:left="340" w:hanging="170"/>
        <w:jc w:val="both"/>
        <w:rPr>
          <w:rFonts w:eastAsia="Calibri"/>
        </w:rPr>
      </w:pPr>
      <w:r w:rsidRPr="007D66FF">
        <w:rPr>
          <w:rFonts w:eastAsia="Calibri"/>
        </w:rPr>
        <w:t xml:space="preserve">LC58086 lokalitet </w:t>
      </w:r>
      <w:proofErr w:type="spellStart"/>
      <w:r w:rsidRPr="007D66FF">
        <w:rPr>
          <w:rFonts w:eastAsia="Calibri"/>
        </w:rPr>
        <w:t>Linardići</w:t>
      </w:r>
      <w:proofErr w:type="spellEnd"/>
      <w:r w:rsidR="004860A7">
        <w:rPr>
          <w:rFonts w:eastAsia="Calibri"/>
        </w:rPr>
        <w:t xml:space="preserve"> </w:t>
      </w:r>
      <w:r w:rsidRPr="007D66FF">
        <w:rPr>
          <w:rFonts w:eastAsia="Calibri"/>
        </w:rPr>
        <w:t>-</w:t>
      </w:r>
      <w:r w:rsidR="004860A7">
        <w:rPr>
          <w:rFonts w:eastAsia="Calibri"/>
        </w:rPr>
        <w:t xml:space="preserve"> </w:t>
      </w:r>
      <w:r w:rsidRPr="007D66FF">
        <w:rPr>
          <w:rFonts w:eastAsia="Calibri"/>
        </w:rPr>
        <w:t xml:space="preserve">LC58085 Brzac </w:t>
      </w:r>
      <w:r w:rsidR="004860A7">
        <w:rPr>
          <w:rFonts w:eastAsia="Calibri"/>
        </w:rPr>
        <w:t xml:space="preserve">- </w:t>
      </w:r>
      <w:r w:rsidRPr="007D66FF">
        <w:rPr>
          <w:rFonts w:eastAsia="Calibri"/>
        </w:rPr>
        <w:t>izrada elaborata zaštite okoliša za izgradnju nove spojne ceste</w:t>
      </w:r>
      <w:r w:rsidR="00EB09A9">
        <w:rPr>
          <w:rFonts w:eastAsia="Calibri"/>
        </w:rPr>
        <w:t>.</w:t>
      </w:r>
    </w:p>
    <w:p w14:paraId="2581FE8A" w14:textId="31146127" w:rsidR="00C120F3" w:rsidRPr="004860A7" w:rsidRDefault="00C120F3" w:rsidP="004860A7">
      <w:pPr>
        <w:pStyle w:val="Odlomakpopisa"/>
        <w:numPr>
          <w:ilvl w:val="0"/>
          <w:numId w:val="12"/>
        </w:numPr>
        <w:spacing w:before="120" w:after="120" w:line="240" w:lineRule="auto"/>
        <w:ind w:left="227" w:hanging="227"/>
        <w:contextualSpacing w:val="0"/>
        <w:jc w:val="both"/>
        <w:rPr>
          <w:rFonts w:eastAsia="Calibri"/>
        </w:rPr>
      </w:pPr>
      <w:r w:rsidRPr="005169B3">
        <w:rPr>
          <w:rFonts w:eastAsia="Calibri"/>
        </w:rPr>
        <w:t xml:space="preserve">Ostali razlozi kao što </w:t>
      </w:r>
      <w:r w:rsidRPr="004860A7">
        <w:rPr>
          <w:rFonts w:eastAsia="Calibri"/>
        </w:rPr>
        <w:t>su ograničenja radova zbog turističke sezone, vremenski</w:t>
      </w:r>
      <w:r w:rsidR="00523617" w:rsidRPr="004860A7">
        <w:rPr>
          <w:rFonts w:eastAsia="Calibri"/>
        </w:rPr>
        <w:t>h uvjeta</w:t>
      </w:r>
      <w:r w:rsidR="00B64608" w:rsidRPr="004860A7">
        <w:rPr>
          <w:rFonts w:eastAsia="Calibri"/>
        </w:rPr>
        <w:t xml:space="preserve"> i sl</w:t>
      </w:r>
      <w:r w:rsidRPr="004860A7">
        <w:rPr>
          <w:rFonts w:eastAsia="Calibri"/>
        </w:rPr>
        <w:t>.:</w:t>
      </w:r>
    </w:p>
    <w:p w14:paraId="6F0DB0ED" w14:textId="7CC56344" w:rsidR="00726C31" w:rsidRDefault="00EB09A9" w:rsidP="006911D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Ž</w:t>
      </w:r>
      <w:r w:rsidR="004860A7">
        <w:rPr>
          <w:rFonts w:eastAsia="Calibri"/>
        </w:rPr>
        <w:t>C</w:t>
      </w:r>
      <w:r>
        <w:rPr>
          <w:rFonts w:eastAsia="Calibri"/>
        </w:rPr>
        <w:t xml:space="preserve">5031 lokalitet </w:t>
      </w:r>
      <w:proofErr w:type="spellStart"/>
      <w:r>
        <w:rPr>
          <w:rFonts w:eastAsia="Calibri"/>
        </w:rPr>
        <w:t>Zamost</w:t>
      </w:r>
      <w:proofErr w:type="spellEnd"/>
      <w:r w:rsidR="004860A7">
        <w:rPr>
          <w:rFonts w:eastAsia="Calibri"/>
        </w:rPr>
        <w:t xml:space="preserve"> – Hrvatsko - </w:t>
      </w:r>
      <w:r>
        <w:rPr>
          <w:rFonts w:eastAsia="Calibri"/>
        </w:rPr>
        <w:t xml:space="preserve">sanacija kolnika </w:t>
      </w:r>
      <w:r w:rsidR="004860A7">
        <w:rPr>
          <w:rFonts w:eastAsia="Calibri"/>
        </w:rPr>
        <w:t>(</w:t>
      </w:r>
      <w:r>
        <w:rPr>
          <w:rFonts w:eastAsia="Calibri"/>
        </w:rPr>
        <w:t>2. dionica</w:t>
      </w:r>
      <w:r w:rsidR="004860A7">
        <w:rPr>
          <w:rFonts w:eastAsia="Calibri"/>
        </w:rPr>
        <w:t>)</w:t>
      </w:r>
      <w:r>
        <w:rPr>
          <w:rFonts w:eastAsia="Calibri"/>
        </w:rPr>
        <w:t>,</w:t>
      </w:r>
    </w:p>
    <w:p w14:paraId="731219E7" w14:textId="1363AF71" w:rsidR="00EB09A9" w:rsidRDefault="004860A7" w:rsidP="006911D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>ŽC5086 lokalitet Malinska - sanacija dijela ceste -</w:t>
      </w:r>
      <w:r w:rsidR="00EB09A9">
        <w:rPr>
          <w:rFonts w:eastAsia="Calibri"/>
        </w:rPr>
        <w:t xml:space="preserve"> poslovna zona Sv. Vid,</w:t>
      </w:r>
    </w:p>
    <w:p w14:paraId="782707DE" w14:textId="49E6C801" w:rsidR="00EB09A9" w:rsidRDefault="004860A7" w:rsidP="006911D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ŽC5183 lokalitet Vrbnik - </w:t>
      </w:r>
      <w:r w:rsidR="00EB09A9">
        <w:rPr>
          <w:rFonts w:eastAsia="Calibri"/>
        </w:rPr>
        <w:t>sanacija dijela ceste (3. dionica),</w:t>
      </w:r>
    </w:p>
    <w:p w14:paraId="12DB7C1C" w14:textId="6D9A50F6" w:rsidR="00EB09A9" w:rsidRDefault="004860A7" w:rsidP="006911D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ŽC5185 lokalitet Čabar - </w:t>
      </w:r>
      <w:r w:rsidR="00EB09A9">
        <w:rPr>
          <w:rFonts w:eastAsia="Calibri"/>
        </w:rPr>
        <w:t xml:space="preserve">sanacija klizišta između naselja </w:t>
      </w:r>
      <w:proofErr w:type="spellStart"/>
      <w:r w:rsidR="00EB09A9">
        <w:rPr>
          <w:rFonts w:eastAsia="Calibri"/>
        </w:rPr>
        <w:t>Smrekari</w:t>
      </w:r>
      <w:proofErr w:type="spellEnd"/>
      <w:r w:rsidR="00EB09A9">
        <w:rPr>
          <w:rFonts w:eastAsia="Calibri"/>
        </w:rPr>
        <w:t xml:space="preserve"> i Mali Lug,</w:t>
      </w:r>
    </w:p>
    <w:p w14:paraId="424CAD23" w14:textId="082594C4" w:rsidR="00EB09A9" w:rsidRDefault="004860A7" w:rsidP="006911D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eastAsia="Calibri"/>
        </w:rPr>
      </w:pPr>
      <w:r>
        <w:rPr>
          <w:rFonts w:eastAsia="Calibri"/>
        </w:rPr>
        <w:t xml:space="preserve">ŽC5034 </w:t>
      </w:r>
      <w:r w:rsidR="00EB09A9" w:rsidRPr="00EB09A9">
        <w:rPr>
          <w:rFonts w:eastAsia="Calibri"/>
        </w:rPr>
        <w:t>lokalitet</w:t>
      </w:r>
      <w:r>
        <w:rPr>
          <w:rFonts w:eastAsia="Calibri"/>
        </w:rPr>
        <w:t xml:space="preserve"> Stara Sušica - </w:t>
      </w:r>
      <w:r w:rsidR="00EB09A9" w:rsidRPr="00EB09A9">
        <w:rPr>
          <w:rFonts w:eastAsia="Calibri"/>
        </w:rPr>
        <w:t>sanacija mosta Stara Sušica</w:t>
      </w:r>
      <w:r w:rsidR="00EB09A9">
        <w:rPr>
          <w:rFonts w:eastAsia="Calibri"/>
        </w:rPr>
        <w:t>,</w:t>
      </w:r>
    </w:p>
    <w:p w14:paraId="1AFAEEA7" w14:textId="5883B0E2" w:rsidR="00EB09A9" w:rsidRDefault="00EB09A9" w:rsidP="006911D1">
      <w:pPr>
        <w:pStyle w:val="Odlomakpopisa"/>
        <w:numPr>
          <w:ilvl w:val="0"/>
          <w:numId w:val="22"/>
        </w:numPr>
        <w:spacing w:after="0" w:line="240" w:lineRule="auto"/>
        <w:jc w:val="both"/>
        <w:rPr>
          <w:rFonts w:eastAsia="Calibri"/>
        </w:rPr>
      </w:pPr>
      <w:r w:rsidRPr="00EB09A9">
        <w:rPr>
          <w:rFonts w:eastAsia="Calibri"/>
        </w:rPr>
        <w:t xml:space="preserve">ŽC5033 lokalitet </w:t>
      </w:r>
      <w:proofErr w:type="spellStart"/>
      <w:r w:rsidRPr="00EB09A9">
        <w:rPr>
          <w:rFonts w:eastAsia="Calibri"/>
        </w:rPr>
        <w:t>Kuželj</w:t>
      </w:r>
      <w:proofErr w:type="spellEnd"/>
      <w:r w:rsidR="004860A7">
        <w:rPr>
          <w:rFonts w:eastAsia="Calibri"/>
        </w:rPr>
        <w:t xml:space="preserve"> </w:t>
      </w:r>
      <w:r w:rsidRPr="00EB09A9">
        <w:rPr>
          <w:rFonts w:eastAsia="Calibri"/>
        </w:rPr>
        <w:t>-</w:t>
      </w:r>
      <w:r w:rsidR="004860A7">
        <w:rPr>
          <w:rFonts w:eastAsia="Calibri"/>
        </w:rPr>
        <w:t xml:space="preserve"> </w:t>
      </w:r>
      <w:r w:rsidRPr="00EB09A9">
        <w:rPr>
          <w:rFonts w:eastAsia="Calibri"/>
        </w:rPr>
        <w:t xml:space="preserve">izmicanje županijske ceste ŽC 5033 izvan naselja </w:t>
      </w:r>
      <w:proofErr w:type="spellStart"/>
      <w:r w:rsidRPr="00EB09A9">
        <w:rPr>
          <w:rFonts w:eastAsia="Calibri"/>
        </w:rPr>
        <w:t>Kuželj</w:t>
      </w:r>
      <w:proofErr w:type="spellEnd"/>
      <w:r w:rsidRPr="00EB09A9">
        <w:rPr>
          <w:rFonts w:eastAsia="Calibri"/>
        </w:rPr>
        <w:t xml:space="preserve">, </w:t>
      </w:r>
      <w:proofErr w:type="spellStart"/>
      <w:r w:rsidRPr="00EB09A9">
        <w:rPr>
          <w:rFonts w:eastAsia="Calibri"/>
        </w:rPr>
        <w:t>Grbajel</w:t>
      </w:r>
      <w:proofErr w:type="spellEnd"/>
      <w:r w:rsidRPr="00EB09A9">
        <w:rPr>
          <w:rFonts w:eastAsia="Calibri"/>
        </w:rPr>
        <w:t xml:space="preserve"> i Guče Selo</w:t>
      </w:r>
      <w:r w:rsidR="004860A7">
        <w:rPr>
          <w:rFonts w:eastAsia="Calibri"/>
        </w:rPr>
        <w:t>.</w:t>
      </w:r>
    </w:p>
    <w:p w14:paraId="71DB0AF3" w14:textId="3D7CA607" w:rsidR="00B94FD7" w:rsidRDefault="00B94FD7" w:rsidP="00EC6EAF">
      <w:pPr>
        <w:pStyle w:val="Naslov1"/>
      </w:pPr>
      <w:bookmarkStart w:id="76" w:name="_Toc224047559"/>
      <w:r>
        <w:lastRenderedPageBreak/>
        <w:t xml:space="preserve">POSEBNI </w:t>
      </w:r>
      <w:r w:rsidRPr="00D012A9">
        <w:t>IZVJEŠTAJ</w:t>
      </w:r>
      <w:r>
        <w:t>I</w:t>
      </w:r>
      <w:r w:rsidR="00FD0570">
        <w:t xml:space="preserve"> </w:t>
      </w:r>
      <w:r w:rsidR="00C44AED">
        <w:t xml:space="preserve">U GODIŠNJEM IZVJEŠTAJU </w:t>
      </w:r>
      <w:r w:rsidR="00FD0570">
        <w:t>O IZVRŠENJU FINANCIJSKOG PLANA</w:t>
      </w:r>
      <w:bookmarkEnd w:id="76"/>
    </w:p>
    <w:p w14:paraId="0D040752" w14:textId="77777777" w:rsidR="00B94FD7" w:rsidRPr="00856711" w:rsidRDefault="00B94FD7" w:rsidP="00EC6EAF">
      <w:pPr>
        <w:pStyle w:val="Naslov2"/>
      </w:pPr>
      <w:bookmarkStart w:id="77" w:name="_Toc224047560"/>
      <w:bookmarkStart w:id="78" w:name="_Toc130465212"/>
      <w:r w:rsidRPr="00FD0570">
        <w:t>IZVJEŠTAJ</w:t>
      </w:r>
      <w:r w:rsidRPr="00856711">
        <w:t xml:space="preserve"> O STANJU POTRAŽIVANJA I DOSPJELIH OBVEZA TE O STANJU POTENCIJALNIH OBVEZA PO </w:t>
      </w:r>
      <w:r w:rsidRPr="00EC6EAF">
        <w:t>OSNOVI</w:t>
      </w:r>
      <w:r w:rsidRPr="00856711">
        <w:t xml:space="preserve"> SUDSKIH SPOROVA</w:t>
      </w:r>
      <w:bookmarkEnd w:id="77"/>
    </w:p>
    <w:bookmarkEnd w:id="78"/>
    <w:p w14:paraId="1163FD85" w14:textId="46FE0214" w:rsidR="00B94FD7" w:rsidRPr="00403D6F" w:rsidRDefault="00B94FD7" w:rsidP="00B94FD7">
      <w:pPr>
        <w:spacing w:before="120" w:after="120"/>
        <w:jc w:val="both"/>
        <w:rPr>
          <w:rFonts w:cstheme="minorHAnsi"/>
        </w:rPr>
      </w:pPr>
      <w:r w:rsidRPr="00403D6F">
        <w:rPr>
          <w:rFonts w:cstheme="minorHAnsi"/>
        </w:rPr>
        <w:t>Temeljem Pravilnika o polugodišnjem i godišnjem izvj</w:t>
      </w:r>
      <w:r>
        <w:rPr>
          <w:rFonts w:cstheme="minorHAnsi"/>
        </w:rPr>
        <w:t>eštaju o izvršenju proračuna („Narodne novine“</w:t>
      </w:r>
      <w:r w:rsidRPr="00403D6F">
        <w:rPr>
          <w:rFonts w:cstheme="minorHAnsi"/>
        </w:rPr>
        <w:t>, broj</w:t>
      </w:r>
      <w:r w:rsidR="00664E31">
        <w:rPr>
          <w:rFonts w:cstheme="minorHAnsi"/>
        </w:rPr>
        <w:t xml:space="preserve"> </w:t>
      </w:r>
      <w:r>
        <w:rPr>
          <w:rFonts w:cstheme="minorHAnsi"/>
        </w:rPr>
        <w:t>85/23</w:t>
      </w:r>
      <w:r w:rsidRPr="00403D6F">
        <w:rPr>
          <w:rFonts w:cstheme="minorHAnsi"/>
        </w:rPr>
        <w:t xml:space="preserve">) obrazloženje ostvarivanja prihoda i primitaka, </w:t>
      </w:r>
      <w:r w:rsidR="000C6D84">
        <w:rPr>
          <w:rFonts w:cstheme="minorHAnsi"/>
        </w:rPr>
        <w:t xml:space="preserve">izvršenje </w:t>
      </w:r>
      <w:r>
        <w:rPr>
          <w:rFonts w:cstheme="minorHAnsi"/>
        </w:rPr>
        <w:t>rashoda i izdataka dopunjeno</w:t>
      </w:r>
      <w:r w:rsidRPr="00403D6F">
        <w:rPr>
          <w:rFonts w:cstheme="minorHAnsi"/>
        </w:rPr>
        <w:t xml:space="preserve"> je dodatnim podacima o stanju bilančnih i </w:t>
      </w:r>
      <w:proofErr w:type="spellStart"/>
      <w:r w:rsidRPr="00403D6F">
        <w:rPr>
          <w:rFonts w:cstheme="minorHAnsi"/>
        </w:rPr>
        <w:t>izvanbilančnih</w:t>
      </w:r>
      <w:proofErr w:type="spellEnd"/>
      <w:r w:rsidRPr="00403D6F">
        <w:rPr>
          <w:rFonts w:cstheme="minorHAnsi"/>
        </w:rPr>
        <w:t xml:space="preserve"> pozicija i to:</w:t>
      </w:r>
    </w:p>
    <w:p w14:paraId="44018699" w14:textId="1CBEAE79" w:rsidR="00B94FD7" w:rsidRPr="002A09C4" w:rsidRDefault="00B94FD7" w:rsidP="00944B9D">
      <w:pPr>
        <w:pStyle w:val="Odlomakpopisa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</w:rPr>
      </w:pPr>
      <w:r w:rsidRPr="002A09C4">
        <w:rPr>
          <w:rFonts w:cstheme="minorHAnsi"/>
        </w:rPr>
        <w:t>s</w:t>
      </w:r>
      <w:r>
        <w:rPr>
          <w:rFonts w:cstheme="minorHAnsi"/>
        </w:rPr>
        <w:t xml:space="preserve">tanju potraživanja na dan 31.prosinca </w:t>
      </w:r>
      <w:r w:rsidRPr="002A09C4">
        <w:rPr>
          <w:rFonts w:cstheme="minorHAnsi"/>
        </w:rPr>
        <w:t>202</w:t>
      </w:r>
      <w:r w:rsidR="002F32C6">
        <w:rPr>
          <w:rFonts w:cstheme="minorHAnsi"/>
        </w:rPr>
        <w:t>5</w:t>
      </w:r>
      <w:r w:rsidRPr="002A09C4">
        <w:rPr>
          <w:rFonts w:cstheme="minorHAnsi"/>
        </w:rPr>
        <w:t>. godine</w:t>
      </w:r>
      <w:r>
        <w:rPr>
          <w:rFonts w:cstheme="minorHAnsi"/>
        </w:rPr>
        <w:t>,</w:t>
      </w:r>
    </w:p>
    <w:p w14:paraId="099566AA" w14:textId="35463A0A" w:rsidR="00B94FD7" w:rsidRPr="002A09C4" w:rsidRDefault="00B94FD7" w:rsidP="00944B9D">
      <w:pPr>
        <w:pStyle w:val="Odlomakpopisa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</w:rPr>
      </w:pPr>
      <w:r w:rsidRPr="002A09C4">
        <w:rPr>
          <w:rFonts w:cstheme="minorHAnsi"/>
        </w:rPr>
        <w:t>stanj</w:t>
      </w:r>
      <w:r>
        <w:rPr>
          <w:rFonts w:cstheme="minorHAnsi"/>
        </w:rPr>
        <w:t xml:space="preserve">u dospjelih obveza na dan 31. prosinca </w:t>
      </w:r>
      <w:r w:rsidRPr="002A09C4">
        <w:rPr>
          <w:rFonts w:cstheme="minorHAnsi"/>
        </w:rPr>
        <w:t>202</w:t>
      </w:r>
      <w:r w:rsidR="002F32C6">
        <w:rPr>
          <w:rFonts w:cstheme="minorHAnsi"/>
        </w:rPr>
        <w:t>5</w:t>
      </w:r>
      <w:r w:rsidRPr="002A09C4">
        <w:rPr>
          <w:rFonts w:cstheme="minorHAnsi"/>
        </w:rPr>
        <w:t>. godine</w:t>
      </w:r>
      <w:r>
        <w:rPr>
          <w:rFonts w:cstheme="minorHAnsi"/>
        </w:rPr>
        <w:t>,</w:t>
      </w:r>
    </w:p>
    <w:p w14:paraId="43903B62" w14:textId="7F39A3E6" w:rsidR="00B94FD7" w:rsidRPr="002A09C4" w:rsidRDefault="00B94FD7" w:rsidP="00944B9D">
      <w:pPr>
        <w:pStyle w:val="Odlomakpopisa"/>
        <w:numPr>
          <w:ilvl w:val="0"/>
          <w:numId w:val="5"/>
        </w:numPr>
        <w:spacing w:before="120" w:after="120" w:line="240" w:lineRule="auto"/>
        <w:jc w:val="both"/>
        <w:rPr>
          <w:rFonts w:cstheme="minorHAnsi"/>
        </w:rPr>
      </w:pPr>
      <w:r w:rsidRPr="002A09C4">
        <w:rPr>
          <w:rFonts w:cstheme="minorHAnsi"/>
        </w:rPr>
        <w:t>stanju potencijalnih obveza po osnovi</w:t>
      </w:r>
      <w:r>
        <w:rPr>
          <w:rFonts w:cstheme="minorHAnsi"/>
        </w:rPr>
        <w:t xml:space="preserve"> sudskih postupaka na dan 31.prosinca </w:t>
      </w:r>
      <w:r w:rsidRPr="002A09C4">
        <w:rPr>
          <w:rFonts w:cstheme="minorHAnsi"/>
        </w:rPr>
        <w:t>202</w:t>
      </w:r>
      <w:r w:rsidR="002F32C6">
        <w:rPr>
          <w:rFonts w:cstheme="minorHAnsi"/>
        </w:rPr>
        <w:t>5</w:t>
      </w:r>
      <w:r w:rsidRPr="002A09C4">
        <w:rPr>
          <w:rFonts w:cstheme="minorHAnsi"/>
        </w:rPr>
        <w:t>. godine</w:t>
      </w:r>
      <w:r>
        <w:rPr>
          <w:rFonts w:cstheme="minorHAnsi"/>
        </w:rPr>
        <w:t>.</w:t>
      </w:r>
    </w:p>
    <w:p w14:paraId="654FB0BC" w14:textId="484C320D" w:rsidR="002F32C6" w:rsidRPr="002F32C6" w:rsidRDefault="002F32C6" w:rsidP="002F32C6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Potraživanja na dan 31.12.2025. godine </w:t>
      </w:r>
      <w:r w:rsidRPr="002F32C6">
        <w:rPr>
          <w:rFonts w:cstheme="minorHAnsi"/>
        </w:rPr>
        <w:t>iznose 291.316,58 eura i obuhvaćaju potraživanja za više plaćene poreze i doprinose, potraživanja za naknade koje se refundiraju, potraživanje za prihode od imovine (godišnja naknada za uporabu javnih cesta što se plaća pri registraciji vozila i naknada za korištenje cestovnog zemljišta),</w:t>
      </w:r>
      <w:r w:rsidR="00136CB1">
        <w:rPr>
          <w:rFonts w:cstheme="minorHAnsi"/>
        </w:rPr>
        <w:t xml:space="preserve"> potraživanja proračuna za kapitalne pomoći</w:t>
      </w:r>
      <w:r w:rsidRPr="002F32C6">
        <w:rPr>
          <w:rFonts w:cstheme="minorHAnsi"/>
        </w:rPr>
        <w:t xml:space="preserve"> te potraživanja za troškove izdavanja rješenja i troškova izvršenog očevida trgovačkim društvima i građanima vezanim uz izdavanje suglasnosti za poduzimanje radnji i aktivnosti na cestovnom zemljištu i zaštitnom pojasu javne ceste. </w:t>
      </w:r>
    </w:p>
    <w:p w14:paraId="3D3BFB4E" w14:textId="622F39F3" w:rsidR="002F32C6" w:rsidRPr="002F32C6" w:rsidRDefault="002F32C6" w:rsidP="002F32C6">
      <w:pPr>
        <w:spacing w:before="120" w:after="120"/>
        <w:jc w:val="both"/>
        <w:rPr>
          <w:rFonts w:cstheme="minorHAnsi"/>
        </w:rPr>
      </w:pPr>
      <w:r w:rsidRPr="002F32C6">
        <w:rPr>
          <w:rFonts w:cstheme="minorHAnsi"/>
        </w:rPr>
        <w:t xml:space="preserve">Potraživanja za više plaćene doprinose </w:t>
      </w:r>
      <w:r w:rsidR="00664E31">
        <w:rPr>
          <w:rFonts w:cstheme="minorHAnsi"/>
        </w:rPr>
        <w:t xml:space="preserve">za mirovinsko osiguranje </w:t>
      </w:r>
      <w:r w:rsidRPr="002F32C6">
        <w:rPr>
          <w:rFonts w:cstheme="minorHAnsi"/>
        </w:rPr>
        <w:t>(</w:t>
      </w:r>
      <w:r w:rsidR="00664E31">
        <w:rPr>
          <w:rFonts w:cstheme="minorHAnsi"/>
        </w:rPr>
        <w:t>podskupina</w:t>
      </w:r>
      <w:r w:rsidRPr="002F32C6">
        <w:rPr>
          <w:rFonts w:cstheme="minorHAnsi"/>
        </w:rPr>
        <w:t xml:space="preserve"> 124) iznose 0,02 eura na sljedećim računima:</w:t>
      </w:r>
    </w:p>
    <w:p w14:paraId="4124C577" w14:textId="77777777" w:rsidR="002F32C6" w:rsidRPr="002F32C6" w:rsidRDefault="002F32C6" w:rsidP="00664E31">
      <w:pPr>
        <w:spacing w:before="120" w:after="120" w:line="257" w:lineRule="auto"/>
        <w:ind w:left="142" w:hanging="142"/>
        <w:jc w:val="both"/>
        <w:rPr>
          <w:rFonts w:cstheme="minorHAnsi"/>
        </w:rPr>
      </w:pPr>
      <w:r w:rsidRPr="002F32C6">
        <w:rPr>
          <w:rFonts w:cstheme="minorHAnsi"/>
        </w:rPr>
        <w:t>- račun 2283 – doprinos za mirovinsko osiguranje na temelju individualne kapitalizirane štednje u iznosu od 0,01 eura,</w:t>
      </w:r>
    </w:p>
    <w:p w14:paraId="3AB82FD0" w14:textId="77777777" w:rsidR="002F32C6" w:rsidRPr="002F32C6" w:rsidRDefault="002F32C6" w:rsidP="002F32C6">
      <w:pPr>
        <w:spacing w:before="120" w:after="120"/>
        <w:jc w:val="both"/>
        <w:rPr>
          <w:rFonts w:cstheme="minorHAnsi"/>
        </w:rPr>
      </w:pPr>
      <w:r w:rsidRPr="002F32C6">
        <w:rPr>
          <w:rFonts w:cstheme="minorHAnsi"/>
        </w:rPr>
        <w:t>- račun 8168 - doprinos za mirovinsko osiguranje na temelju generacijske solidarnosti u iznosu od 0,01 eura.</w:t>
      </w:r>
    </w:p>
    <w:p w14:paraId="470F0046" w14:textId="77777777" w:rsidR="002F32C6" w:rsidRPr="002F32C6" w:rsidRDefault="002F32C6" w:rsidP="002F32C6">
      <w:pPr>
        <w:spacing w:before="120" w:after="120"/>
        <w:jc w:val="both"/>
        <w:rPr>
          <w:rFonts w:cstheme="minorHAnsi"/>
        </w:rPr>
      </w:pPr>
      <w:r w:rsidRPr="002F32C6">
        <w:rPr>
          <w:rFonts w:cstheme="minorHAnsi"/>
        </w:rPr>
        <w:t xml:space="preserve">Povrat preplaćenih iznosa pokušati će se izvršiti u 2026. godini. </w:t>
      </w:r>
    </w:p>
    <w:p w14:paraId="48FA8FF3" w14:textId="77777777" w:rsidR="002F32C6" w:rsidRPr="002F32C6" w:rsidRDefault="002F32C6" w:rsidP="002F32C6">
      <w:pPr>
        <w:spacing w:before="120" w:after="120"/>
        <w:jc w:val="both"/>
        <w:rPr>
          <w:rFonts w:cstheme="minorHAnsi"/>
        </w:rPr>
      </w:pPr>
      <w:r w:rsidRPr="002F32C6">
        <w:rPr>
          <w:rFonts w:cstheme="minorHAnsi"/>
        </w:rPr>
        <w:t>Ostala potraživanja (podskupina 129) odnose se na potraživanja za predujmove i iznose 1.327,22 eura, a odnose se na predujmove uplaćene prema</w:t>
      </w:r>
    </w:p>
    <w:p w14:paraId="4F714C52" w14:textId="77777777" w:rsidR="002F32C6" w:rsidRPr="002F32C6" w:rsidRDefault="002F32C6" w:rsidP="002F32C6">
      <w:pPr>
        <w:spacing w:before="120" w:after="120"/>
        <w:jc w:val="both"/>
        <w:rPr>
          <w:rFonts w:cstheme="minorHAnsi"/>
        </w:rPr>
      </w:pPr>
      <w:r w:rsidRPr="002F32C6">
        <w:rPr>
          <w:rFonts w:cstheme="minorHAnsi"/>
        </w:rPr>
        <w:t>- Državnom proračunu Republike Hrvatske – Trgovački sud u Rijeci u iznosu od 663,61 eura dana 17.02.2025. godine radi pokrenutog postupka prema Hrvatskom telekomu d.d. radi naplate naknade za pravo puta za period 2024.-2025. godine po predmetu P-452/2023 koji je nakon žalbe dodijeljen Visokom trgovačkom sudu Republike Hrvatske po predmetu Pž-1471/2025 03.04.2025. godine. Nakon donesene odluke Visokog trgovačkog suda Republike Hrvatske za navedeni iznos će nam se izvršiti povrat.</w:t>
      </w:r>
    </w:p>
    <w:p w14:paraId="4889C6F9" w14:textId="77777777" w:rsidR="002F32C6" w:rsidRPr="002F32C6" w:rsidRDefault="002F32C6" w:rsidP="002F32C6">
      <w:pPr>
        <w:spacing w:before="120" w:after="120"/>
        <w:jc w:val="both"/>
        <w:rPr>
          <w:rFonts w:cstheme="minorHAnsi"/>
        </w:rPr>
      </w:pPr>
      <w:r w:rsidRPr="002F32C6">
        <w:rPr>
          <w:rFonts w:cstheme="minorHAnsi"/>
        </w:rPr>
        <w:t xml:space="preserve">- Financijskoj agenciji temeljem odredbe čl. 22. st. 1. Zakona o provedbi ovrhe na novčanim sredstvima („Narodne novine“, broj 68/2018, 2/2020, 47/2020, 46/2020, 83/2020 i 133/2020) gdje je propisano da je ovrhovoditelj dužan predujmiti Financijskoj agenciji iznos propisane naknade za provedbu osnove za plaćanje, a Financijska agencija će taj iznos upisati u Očevidnik redoslijeda osnova za plaćanje zajedno s tražbinom iz osnove za plaćanje te provesti ovrhu u korist ovrhovoditelja, u iznosu od 663,61 eura dana 24.12.2025. godine radi pokretanja ovrhe prema Hrvatskom telekomu d.d. radi naplate naknade za pravo puta za period 2025.-2026. godine po predmetu </w:t>
      </w:r>
      <w:proofErr w:type="spellStart"/>
      <w:r w:rsidRPr="002F32C6">
        <w:rPr>
          <w:rFonts w:cstheme="minorHAnsi"/>
        </w:rPr>
        <w:t>posl</w:t>
      </w:r>
      <w:proofErr w:type="spellEnd"/>
      <w:r w:rsidRPr="002F32C6">
        <w:rPr>
          <w:rFonts w:cstheme="minorHAnsi"/>
        </w:rPr>
        <w:t xml:space="preserve">. br. Ovr-107/2026 pred Općinskim građanskim sudom u Zagrebu. </w:t>
      </w:r>
    </w:p>
    <w:p w14:paraId="51896891" w14:textId="77777777" w:rsidR="002F32C6" w:rsidRPr="002F32C6" w:rsidRDefault="002F32C6" w:rsidP="002F32C6">
      <w:pPr>
        <w:spacing w:before="120" w:after="120"/>
        <w:jc w:val="both"/>
        <w:rPr>
          <w:rFonts w:cstheme="minorHAnsi"/>
        </w:rPr>
      </w:pPr>
      <w:r w:rsidRPr="002F32C6">
        <w:rPr>
          <w:rFonts w:cstheme="minorHAnsi"/>
        </w:rPr>
        <w:t>Potraživanje za prihode poslovanja (u ukupnom iznosu od 289.989,34 eura) čine potraživanja za pomoći od subjekata unutar općeg proračuna, potraživanja za prihode od imovine te potraživanja za ostale prihode.</w:t>
      </w:r>
    </w:p>
    <w:p w14:paraId="1F7D759E" w14:textId="5AFF046E" w:rsidR="002F32C6" w:rsidRPr="002F32C6" w:rsidRDefault="002F32C6" w:rsidP="002F32C6">
      <w:pPr>
        <w:spacing w:before="120" w:after="120"/>
        <w:jc w:val="both"/>
        <w:rPr>
          <w:rFonts w:cstheme="minorHAnsi"/>
        </w:rPr>
      </w:pPr>
      <w:r w:rsidRPr="002F32C6">
        <w:rPr>
          <w:rFonts w:cstheme="minorHAnsi"/>
        </w:rPr>
        <w:t>Potraživanja za pomoći od subjekata unutar općeg proračuna (</w:t>
      </w:r>
      <w:r w:rsidR="00664E31">
        <w:rPr>
          <w:rFonts w:cstheme="minorHAnsi"/>
        </w:rPr>
        <w:t>podskupina</w:t>
      </w:r>
      <w:r w:rsidRPr="002F32C6">
        <w:rPr>
          <w:rFonts w:cstheme="minorHAnsi"/>
        </w:rPr>
        <w:t xml:space="preserve"> 163) odnose se na potraživanja za kapitalne pomoći iz drugih proračuna odnosno na potraživanja od poduzeća Hrvatske ceste d.o.o. u iznosu od 15.286,18 eura temeljem Ugovora o aktivnostima, reguliranju obveza i sufinanciranju radova izmicanja županijske ceste ŽC5033 izvan naselja </w:t>
      </w:r>
      <w:proofErr w:type="spellStart"/>
      <w:r w:rsidRPr="002F32C6">
        <w:rPr>
          <w:rFonts w:cstheme="minorHAnsi"/>
        </w:rPr>
        <w:t>Kuželj</w:t>
      </w:r>
      <w:proofErr w:type="spellEnd"/>
      <w:r w:rsidRPr="002F32C6">
        <w:rPr>
          <w:rFonts w:cstheme="minorHAnsi"/>
        </w:rPr>
        <w:t xml:space="preserve">, </w:t>
      </w:r>
      <w:proofErr w:type="spellStart"/>
      <w:r w:rsidRPr="002F32C6">
        <w:rPr>
          <w:rFonts w:cstheme="minorHAnsi"/>
        </w:rPr>
        <w:t>Grbajel</w:t>
      </w:r>
      <w:proofErr w:type="spellEnd"/>
      <w:r w:rsidRPr="002F32C6">
        <w:rPr>
          <w:rFonts w:cstheme="minorHAnsi"/>
        </w:rPr>
        <w:t xml:space="preserve"> i Guče Selo u Primorsko-goranskoj županiji KLASA: 406-01/24-01/37, URBROJ: 2170-48-03/14-25-2, In.br. 04/2025 od 28.03.2025. godine.</w:t>
      </w:r>
    </w:p>
    <w:p w14:paraId="2B15FA4D" w14:textId="79A4DC5E" w:rsidR="002F32C6" w:rsidRPr="002F32C6" w:rsidRDefault="002F32C6" w:rsidP="002F32C6">
      <w:pPr>
        <w:spacing w:before="120" w:after="120"/>
        <w:jc w:val="both"/>
        <w:rPr>
          <w:rFonts w:cstheme="minorHAnsi"/>
        </w:rPr>
      </w:pPr>
      <w:r w:rsidRPr="002F32C6">
        <w:rPr>
          <w:rFonts w:cstheme="minorHAnsi"/>
        </w:rPr>
        <w:lastRenderedPageBreak/>
        <w:t>Potraživa</w:t>
      </w:r>
      <w:r w:rsidR="00664E31">
        <w:rPr>
          <w:rFonts w:cstheme="minorHAnsi"/>
        </w:rPr>
        <w:t>nja za prihode od imovine (podskupina</w:t>
      </w:r>
      <w:r w:rsidRPr="002F32C6">
        <w:rPr>
          <w:rFonts w:cstheme="minorHAnsi"/>
        </w:rPr>
        <w:t xml:space="preserve"> 164) čine potraživanja od naknada za uporabu javnih cesta što se plaćaju pri registraciji motornih i priključnih vozila od stanica za tehnički pregled vozila i od Ministarstva mora, prometa i infrastrukture, potraživanja od naknada za izvanredni prijevoz, potraživanja od naknada za korištenje cestovnog zemljišta i obavljanja pratećih djelatnosti na javnoj cesti, te naknada za osnivanje prava služnosti i prava građenja na javnoj cesti.</w:t>
      </w:r>
    </w:p>
    <w:p w14:paraId="053035E4" w14:textId="77777777" w:rsidR="002F32C6" w:rsidRPr="002F32C6" w:rsidRDefault="002F32C6" w:rsidP="002F32C6">
      <w:pPr>
        <w:spacing w:before="120" w:after="120"/>
        <w:jc w:val="both"/>
        <w:rPr>
          <w:rFonts w:cstheme="minorHAnsi"/>
        </w:rPr>
      </w:pPr>
      <w:r w:rsidRPr="002F32C6">
        <w:rPr>
          <w:rFonts w:cstheme="minorHAnsi"/>
        </w:rPr>
        <w:t>Potraživanja od naknada za uporabu javnih cesta što se plaćaju pri registraciji motornih i priključnih vozila iznose 96.706,05 eura, a odnose se na obračunate naknade pri registraciji vozila u 2025. godini (naplaćene u 2026. godini).</w:t>
      </w:r>
    </w:p>
    <w:p w14:paraId="25901E1B" w14:textId="77777777" w:rsidR="002F32C6" w:rsidRPr="002F32C6" w:rsidRDefault="002F32C6" w:rsidP="002F32C6">
      <w:pPr>
        <w:spacing w:before="120" w:after="120"/>
        <w:jc w:val="both"/>
        <w:rPr>
          <w:rFonts w:cstheme="minorHAnsi"/>
        </w:rPr>
      </w:pPr>
      <w:r w:rsidRPr="002F32C6">
        <w:rPr>
          <w:rFonts w:cstheme="minorHAnsi"/>
        </w:rPr>
        <w:t>Potraživanje od Ministarstva mora, prometa i infrastrukture u iznosu od 8.631,39 eura za nadoknadu iznosa godišnje naknade za uporabu javnih cesta koja se plaća pri registraciji osobnog automobila koje Županijska uprava za ceste Primorsko-goranske županije nije ostvarila pri registraciji vozila zbog ostvarivanja prava na oslobađanje od plaćanja navedene naknade osoba s invaliditetom propisanih čl. 7. Zakona o povlasticama u prometu („Narodne novine“, broj 133/2023). Pravo na nadoknadu iznosa godišnje naknade Županijska uprava za ceste Primorsko-goranske županije ostvaruje temeljem čl. 90. st. 1. Zakona o cestama („Narodne novine“, broj 84/2011, 22/2013, 54/2013, 148/2013, 92/2014, 110/2019, 144/2021, 114/2022, 114/2022, 04/2023, 133/2023, 156/2025). Potraživanja su knjižena temeljem izlaznog računa broj 12-2025 od 31.12.2025. godine (naplaćeno 15.01.2026. godine, izvod br. 9).</w:t>
      </w:r>
    </w:p>
    <w:p w14:paraId="24DFC714" w14:textId="77777777" w:rsidR="002F32C6" w:rsidRPr="002F32C6" w:rsidRDefault="002F32C6" w:rsidP="002F32C6">
      <w:pPr>
        <w:spacing w:before="120" w:after="120"/>
        <w:jc w:val="both"/>
        <w:rPr>
          <w:rFonts w:cstheme="minorHAnsi"/>
        </w:rPr>
      </w:pPr>
      <w:r w:rsidRPr="002F32C6">
        <w:rPr>
          <w:rFonts w:cstheme="minorHAnsi"/>
        </w:rPr>
        <w:t>Potraživanja od naknada za izvanredni prijevoz, potraživanja od naknada za korištenje cestovnog zemljišta i obavljanja pratećih djelatnosti na javnoj cesti, te naknada za osnivanje prava služnosti i prava građenja na javnoj cesti na dan 31. prosinca 2025. godine iznose 169.047,15 eura.</w:t>
      </w:r>
    </w:p>
    <w:p w14:paraId="6AF7C4E1" w14:textId="57CF5C70" w:rsidR="002F32C6" w:rsidRPr="002F32C6" w:rsidRDefault="002F32C6" w:rsidP="002F32C6">
      <w:pPr>
        <w:spacing w:before="120" w:after="120"/>
        <w:jc w:val="both"/>
        <w:rPr>
          <w:rFonts w:cstheme="minorHAnsi"/>
        </w:rPr>
      </w:pPr>
      <w:r w:rsidRPr="002F32C6">
        <w:rPr>
          <w:rFonts w:cstheme="minorHAnsi"/>
        </w:rPr>
        <w:t xml:space="preserve">Potraživanja za ostale prihode </w:t>
      </w:r>
      <w:r w:rsidR="00664E31">
        <w:rPr>
          <w:rFonts w:cstheme="minorHAnsi"/>
        </w:rPr>
        <w:t xml:space="preserve">(podskupina 168) </w:t>
      </w:r>
      <w:r w:rsidRPr="002F32C6">
        <w:rPr>
          <w:rFonts w:cstheme="minorHAnsi"/>
        </w:rPr>
        <w:t>iznose 318,57 eura, a čine ih fakturirani troškovi u postupku izdavanja rješenja i troškovi izvršenih očevida trgovačkom društvima i građanima vezanim uz izdavanje suglasnosti za poduzimanje radnji i aktivnosti na cestovnom zemljištu, a temeljem Odluke o visini troškova u postupku izdavanja upravnih i drugih akata od 09.03.2017. godine (KLASA: 023-</w:t>
      </w:r>
      <w:r w:rsidR="00136CB1">
        <w:rPr>
          <w:rFonts w:cstheme="minorHAnsi"/>
        </w:rPr>
        <w:t>01/17-02/2, URBROJ: 2170-04-12-</w:t>
      </w:r>
      <w:r w:rsidRPr="002F32C6">
        <w:rPr>
          <w:rFonts w:cstheme="minorHAnsi"/>
        </w:rPr>
        <w:t>17-06) i Odluke o izmjenama i dopunama Odluke o visini troškova u postupku izdavanja upravnih i drugih akata od 15.11.2022. godine (KLASA: 025-01/22-02/17, URBROJ: 2170-48-01-01-22-4).</w:t>
      </w:r>
    </w:p>
    <w:p w14:paraId="76279D54" w14:textId="3E48C979" w:rsidR="002F32C6" w:rsidRDefault="002F32C6" w:rsidP="002F32C6">
      <w:pPr>
        <w:spacing w:before="120" w:after="120"/>
        <w:jc w:val="both"/>
        <w:rPr>
          <w:rFonts w:cstheme="minorHAnsi"/>
        </w:rPr>
      </w:pPr>
      <w:r w:rsidRPr="002F32C6">
        <w:rPr>
          <w:rFonts w:cstheme="minorHAnsi"/>
        </w:rPr>
        <w:t>Ukupna potraživanja na dan 31 prosinca 2025. godine se povećavaju u odnosu na dan 01. siječnja 2025. godine za 160.227,11 eura, a najveći udio povećanja odnosi se na potraživanja za prihode od imovine odnosno potraživanja za naknade za korištenje cestovnog zemljišta i obavljanja pratećih djelatnosti na javnoj cesti za nenaplaćeni prihod od strane društva Hrvatski telekom d.d. – naplata temeljem ovrhe.</w:t>
      </w:r>
    </w:p>
    <w:p w14:paraId="25725111" w14:textId="0D652EC7" w:rsidR="00B94FD7" w:rsidRDefault="00B94FD7" w:rsidP="00B94FD7">
      <w:pPr>
        <w:spacing w:before="120" w:after="120"/>
        <w:jc w:val="both"/>
        <w:rPr>
          <w:rFonts w:cstheme="minorHAnsi"/>
        </w:rPr>
      </w:pPr>
      <w:r>
        <w:rPr>
          <w:rFonts w:cstheme="minorHAnsi"/>
        </w:rPr>
        <w:t xml:space="preserve">Obaveze na dan 31. prosinca </w:t>
      </w:r>
      <w:r w:rsidRPr="00403D6F">
        <w:rPr>
          <w:rFonts w:cstheme="minorHAnsi"/>
        </w:rPr>
        <w:t>202</w:t>
      </w:r>
      <w:r w:rsidR="00136CB1">
        <w:rPr>
          <w:rFonts w:cstheme="minorHAnsi"/>
        </w:rPr>
        <w:t>5</w:t>
      </w:r>
      <w:r>
        <w:rPr>
          <w:rFonts w:cstheme="minorHAnsi"/>
        </w:rPr>
        <w:t xml:space="preserve">. godine </w:t>
      </w:r>
      <w:r w:rsidRPr="00777953">
        <w:rPr>
          <w:rFonts w:cstheme="minorHAnsi"/>
        </w:rPr>
        <w:t xml:space="preserve">iznose </w:t>
      </w:r>
      <w:r w:rsidR="00136CB1">
        <w:rPr>
          <w:rFonts w:cstheme="minorHAnsi"/>
        </w:rPr>
        <w:t>1.936.017,03</w:t>
      </w:r>
      <w:r w:rsidRPr="00777953">
        <w:rPr>
          <w:rFonts w:eastAsiaTheme="minorEastAsia" w:cstheme="minorHAnsi"/>
          <w:lang w:eastAsia="hr-HR"/>
        </w:rPr>
        <w:t xml:space="preserve"> eur</w:t>
      </w:r>
      <w:r w:rsidR="00626AAC">
        <w:rPr>
          <w:rFonts w:eastAsiaTheme="minorEastAsia" w:cstheme="minorHAnsi"/>
          <w:lang w:eastAsia="hr-HR"/>
        </w:rPr>
        <w:t>a</w:t>
      </w:r>
      <w:r w:rsidRPr="00403D6F">
        <w:rPr>
          <w:rFonts w:cstheme="minorHAnsi"/>
        </w:rPr>
        <w:t xml:space="preserve"> i u cijelosti su nedospjele.</w:t>
      </w:r>
    </w:p>
    <w:p w14:paraId="1AA656D0" w14:textId="12D9DBA4" w:rsidR="00136CB1" w:rsidRDefault="00136CB1" w:rsidP="00136CB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136CB1">
        <w:rPr>
          <w:rFonts w:eastAsiaTheme="minorEastAsia" w:cstheme="minorHAnsi"/>
          <w:lang w:eastAsia="hr-HR"/>
        </w:rPr>
        <w:t xml:space="preserve">Županijska uprava za ceste Primorsko-goranske županije vodi analitičku evidenciju primljenih instrumenata osiguranja plaćanja. Primljeni instrumenti osiguranja plaćanja (zadužnice i garancije) na dan 31. prosinca 2025. godine iznose 9.195.002,67 eura, a primljeni su kao jamstvo za uredno izvršenje ugovora, za otklanjanje nedostataka u jamstvenom roku i osiguranje naplate potraživanja. </w:t>
      </w:r>
    </w:p>
    <w:p w14:paraId="06F75043" w14:textId="77777777" w:rsidR="00136CB1" w:rsidRPr="00136CB1" w:rsidRDefault="00136CB1" w:rsidP="00136CB1">
      <w:pPr>
        <w:spacing w:line="259" w:lineRule="auto"/>
        <w:jc w:val="both"/>
        <w:rPr>
          <w:rFonts w:eastAsiaTheme="minorEastAsia" w:cstheme="minorHAnsi"/>
          <w:lang w:eastAsia="hr-HR"/>
        </w:rPr>
      </w:pPr>
      <w:r w:rsidRPr="00136CB1">
        <w:rPr>
          <w:rFonts w:eastAsiaTheme="minorEastAsia" w:cstheme="minorHAnsi"/>
          <w:lang w:eastAsia="hr-HR"/>
        </w:rPr>
        <w:t xml:space="preserve">U </w:t>
      </w:r>
      <w:proofErr w:type="spellStart"/>
      <w:r w:rsidRPr="00136CB1">
        <w:rPr>
          <w:rFonts w:eastAsiaTheme="minorEastAsia" w:cstheme="minorHAnsi"/>
          <w:lang w:eastAsia="hr-HR"/>
        </w:rPr>
        <w:t>izvanbilančnim</w:t>
      </w:r>
      <w:proofErr w:type="spellEnd"/>
      <w:r w:rsidRPr="00136CB1">
        <w:rPr>
          <w:rFonts w:eastAsiaTheme="minorEastAsia" w:cstheme="minorHAnsi"/>
          <w:lang w:eastAsia="hr-HR"/>
        </w:rPr>
        <w:t xml:space="preserve"> zapisima evidentirana je vrijednost sudskih sporova u tijeku na dan 31. prosinca 2025. godine u iznosu od 511.930,56 eura.</w:t>
      </w:r>
    </w:p>
    <w:p w14:paraId="58CEE08C" w14:textId="6E09BEA9" w:rsidR="00136CB1" w:rsidRPr="00136CB1" w:rsidRDefault="00136CB1" w:rsidP="00136CB1">
      <w:pPr>
        <w:spacing w:line="259" w:lineRule="auto"/>
        <w:jc w:val="both"/>
        <w:rPr>
          <w:rFonts w:eastAsiaTheme="minorEastAsia" w:cstheme="minorHAnsi"/>
          <w:lang w:eastAsia="hr-HR"/>
        </w:rPr>
      </w:pPr>
      <w:r w:rsidRPr="00136CB1">
        <w:rPr>
          <w:rFonts w:eastAsiaTheme="minorEastAsia" w:cstheme="minorHAnsi"/>
          <w:lang w:eastAsia="hr-HR"/>
        </w:rPr>
        <w:t>Pred sudovima je u tijeku jedanaest sporova u kojima je Županijska uprava za ceste Primorsko-goranske županije tuženik, potencijalne vrij</w:t>
      </w:r>
      <w:r w:rsidR="00542239">
        <w:rPr>
          <w:rFonts w:eastAsiaTheme="minorEastAsia" w:cstheme="minorHAnsi"/>
          <w:lang w:eastAsia="hr-HR"/>
        </w:rPr>
        <w:t>ednosti obveza 511.930,56 eura.</w:t>
      </w:r>
    </w:p>
    <w:p w14:paraId="6215716E" w14:textId="13893C45" w:rsidR="009A4698" w:rsidRDefault="00136CB1" w:rsidP="00136CB1">
      <w:pPr>
        <w:spacing w:line="259" w:lineRule="auto"/>
        <w:jc w:val="both"/>
        <w:rPr>
          <w:rFonts w:eastAsiaTheme="minorEastAsia" w:cstheme="minorHAnsi"/>
          <w:lang w:eastAsia="hr-HR"/>
        </w:rPr>
      </w:pPr>
      <w:r w:rsidRPr="00136CB1">
        <w:rPr>
          <w:rFonts w:eastAsiaTheme="minorEastAsia" w:cstheme="minorHAnsi"/>
          <w:lang w:eastAsia="hr-HR"/>
        </w:rPr>
        <w:t>Županijska uprava za ceste Primorsko-goranske županije ima ugovoreno osiguranje od odgovornosti iz djelatnosti, pa će slijedom toga iznose po pravomoćnim presudama isplatiti osiguravajuće društvo ovisno o pokriću.</w:t>
      </w:r>
      <w:r w:rsidR="009A4698">
        <w:rPr>
          <w:rFonts w:eastAsiaTheme="minorEastAsia" w:cstheme="minorHAnsi"/>
          <w:lang w:eastAsia="hr-HR"/>
        </w:rPr>
        <w:br w:type="page"/>
      </w:r>
    </w:p>
    <w:p w14:paraId="37E0C990" w14:textId="77777777" w:rsidR="009A4698" w:rsidRPr="006F64B6" w:rsidRDefault="009A4698" w:rsidP="009A4698">
      <w:pPr>
        <w:pStyle w:val="Naslov2"/>
      </w:pPr>
      <w:bookmarkStart w:id="79" w:name="_Toc161399579"/>
      <w:bookmarkStart w:id="80" w:name="_Toc224047561"/>
      <w:r w:rsidRPr="006F64B6">
        <w:lastRenderedPageBreak/>
        <w:t xml:space="preserve">IZVJEŠTAJ O DANIM JAMSTVIMA I </w:t>
      </w:r>
      <w:r>
        <w:t xml:space="preserve">POTRAŽIVANJIMA </w:t>
      </w:r>
      <w:r w:rsidRPr="006F64B6">
        <w:t>PO JAMSTVIMA</w:t>
      </w:r>
      <w:bookmarkEnd w:id="79"/>
      <w:bookmarkEnd w:id="80"/>
    </w:p>
    <w:p w14:paraId="2C72ACE5" w14:textId="09ABBF94" w:rsidR="009A4698" w:rsidRPr="00293B8A" w:rsidRDefault="009A4698" w:rsidP="009A469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eastAsiaTheme="minorEastAsia" w:cstheme="minorHAnsi"/>
          <w:lang w:eastAsia="hr-HR"/>
        </w:rPr>
      </w:pPr>
      <w:r w:rsidRPr="006F64B6">
        <w:rPr>
          <w:rFonts w:ascii="Calibri" w:hAnsi="Calibri" w:cs="Calibri"/>
        </w:rPr>
        <w:t>Županjska uprava za ceste Primorsko-goranske županije</w:t>
      </w:r>
      <w:r>
        <w:rPr>
          <w:rFonts w:ascii="Calibri" w:hAnsi="Calibri" w:cs="Calibri"/>
        </w:rPr>
        <w:t xml:space="preserve"> </w:t>
      </w:r>
      <w:r>
        <w:rPr>
          <w:rFonts w:eastAsiaTheme="minorEastAsia" w:cstheme="minorHAnsi"/>
          <w:lang w:eastAsia="hr-HR"/>
        </w:rPr>
        <w:t xml:space="preserve">vodi analitičku evidencija danih instrumenata osiguranja (zadužnice) kao jamstvo za urednu otplatu kredita u </w:t>
      </w:r>
      <w:r w:rsidRPr="00293B8A">
        <w:rPr>
          <w:rFonts w:eastAsiaTheme="minorEastAsia" w:cstheme="minorHAnsi"/>
          <w:lang w:eastAsia="hr-HR"/>
        </w:rPr>
        <w:t xml:space="preserve">Privrednoj banci d.d. Zagreb. </w:t>
      </w:r>
      <w:r>
        <w:rPr>
          <w:rFonts w:eastAsiaTheme="minorEastAsia" w:cstheme="minorHAnsi"/>
          <w:lang w:eastAsia="hr-HR"/>
        </w:rPr>
        <w:t>Na dan 31. prosinca 202</w:t>
      </w:r>
      <w:r w:rsidR="00136CB1">
        <w:rPr>
          <w:rFonts w:eastAsiaTheme="minorEastAsia" w:cstheme="minorHAnsi"/>
          <w:lang w:eastAsia="hr-HR"/>
        </w:rPr>
        <w:t>5</w:t>
      </w:r>
      <w:r>
        <w:rPr>
          <w:rFonts w:eastAsiaTheme="minorEastAsia" w:cstheme="minorHAnsi"/>
          <w:lang w:eastAsia="hr-HR"/>
        </w:rPr>
        <w:t>. godine iznosi 2.083.940,96 eura.</w:t>
      </w:r>
    </w:p>
    <w:p w14:paraId="0E8B031C" w14:textId="1FA2325C" w:rsidR="006A725F" w:rsidRDefault="006A725F" w:rsidP="000632DD">
      <w:pPr>
        <w:spacing w:after="0" w:line="240" w:lineRule="auto"/>
        <w:rPr>
          <w:rFonts w:ascii="Calibri" w:hAnsi="Calibri" w:cs="Calibri"/>
        </w:rPr>
      </w:pPr>
    </w:p>
    <w:p w14:paraId="7061EB16" w14:textId="77777777" w:rsidR="009A4698" w:rsidRDefault="009A4698" w:rsidP="000632DD">
      <w:pPr>
        <w:spacing w:after="0" w:line="240" w:lineRule="auto"/>
        <w:rPr>
          <w:rFonts w:ascii="Calibri" w:hAnsi="Calibri" w:cs="Calibri"/>
        </w:rPr>
      </w:pPr>
    </w:p>
    <w:p w14:paraId="778491A4" w14:textId="77777777" w:rsidR="009A4698" w:rsidRDefault="009A4698" w:rsidP="000632DD">
      <w:pPr>
        <w:spacing w:after="0" w:line="240" w:lineRule="auto"/>
        <w:rPr>
          <w:rFonts w:ascii="Calibri" w:hAnsi="Calibri" w:cs="Calibri"/>
        </w:rPr>
      </w:pPr>
    </w:p>
    <w:p w14:paraId="1EF92F42" w14:textId="77777777" w:rsidR="00984AE8" w:rsidRPr="00701230" w:rsidRDefault="00984AE8" w:rsidP="009639FD">
      <w:pPr>
        <w:spacing w:after="0" w:line="257" w:lineRule="auto"/>
        <w:ind w:left="6372"/>
        <w:jc w:val="center"/>
        <w:rPr>
          <w:rFonts w:cstheme="minorHAnsi"/>
        </w:rPr>
      </w:pPr>
      <w:r>
        <w:rPr>
          <w:rFonts w:cstheme="minorHAnsi"/>
        </w:rPr>
        <w:t>Ravnatelj</w:t>
      </w:r>
    </w:p>
    <w:p w14:paraId="57AADA25" w14:textId="77777777" w:rsidR="008B677D" w:rsidRDefault="008B677D" w:rsidP="009639FD">
      <w:pPr>
        <w:spacing w:after="0"/>
        <w:ind w:left="6372"/>
        <w:jc w:val="center"/>
        <w:rPr>
          <w:rFonts w:eastAsia="Aptos" w:cstheme="minorHAnsi"/>
          <w:kern w:val="2"/>
          <w14:ligatures w14:val="standardContextual"/>
        </w:rPr>
      </w:pPr>
      <w:r>
        <w:rPr>
          <w:rFonts w:eastAsia="Aptos" w:cstheme="minorHAnsi"/>
          <w:kern w:val="2"/>
          <w14:ligatures w14:val="standardContextual"/>
        </w:rPr>
        <w:t>izv. prof. dr. sc. Robert Maršanić</w:t>
      </w:r>
    </w:p>
    <w:p w14:paraId="5099658C" w14:textId="4F206E6A" w:rsidR="00AF51E4" w:rsidRDefault="00AF51E4">
      <w:pPr>
        <w:spacing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3BF8D42" w14:textId="77777777" w:rsidR="002A01D0" w:rsidRDefault="003658FB" w:rsidP="00D10C51">
      <w:pPr>
        <w:pStyle w:val="Naslov1"/>
        <w:rPr>
          <w:noProof/>
        </w:rPr>
      </w:pPr>
      <w:bookmarkStart w:id="81" w:name="_Toc224047562"/>
      <w:r w:rsidRPr="00417575">
        <w:lastRenderedPageBreak/>
        <w:t xml:space="preserve">POPIS </w:t>
      </w:r>
      <w:r w:rsidRPr="00D10C51">
        <w:t>TABLICA</w:t>
      </w:r>
      <w:bookmarkEnd w:id="81"/>
      <w:r w:rsidR="0020248B" w:rsidRPr="00F7445E">
        <w:fldChar w:fldCharType="begin"/>
      </w:r>
      <w:r w:rsidR="0020248B" w:rsidRPr="00F7445E">
        <w:instrText xml:space="preserve"> TOC \h \z \c "Tablica" </w:instrText>
      </w:r>
      <w:r w:rsidR="0020248B" w:rsidRPr="00F7445E">
        <w:fldChar w:fldCharType="separate"/>
      </w:r>
    </w:p>
    <w:p w14:paraId="469B19BB" w14:textId="77777777" w:rsidR="002A01D0" w:rsidRDefault="002A01D0" w:rsidP="002A01D0">
      <w:pPr>
        <w:pStyle w:val="Tablicaslika"/>
        <w:tabs>
          <w:tab w:val="right" w:leader="dot" w:pos="9628"/>
        </w:tabs>
        <w:ind w:left="907" w:hanging="907"/>
        <w:rPr>
          <w:rFonts w:eastAsiaTheme="minorEastAsia"/>
          <w:noProof/>
          <w:lang w:eastAsia="hr-HR"/>
        </w:rPr>
      </w:pPr>
      <w:hyperlink w:anchor="_Toc224047001" w:history="1">
        <w:r w:rsidRPr="00C2006A">
          <w:rPr>
            <w:rStyle w:val="Hiperveza"/>
            <w:noProof/>
          </w:rPr>
          <w:t>Tablica 1. Izvršenje financijskog plana u 2025. godini s usporednim pokazateljima izvršenja u 2024. godini i izvornog plana za 2025. godinu.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7370555" w14:textId="77777777" w:rsidR="002A01D0" w:rsidRDefault="002A01D0" w:rsidP="002A01D0">
      <w:pPr>
        <w:pStyle w:val="Tablicaslika"/>
        <w:tabs>
          <w:tab w:val="right" w:leader="dot" w:pos="9628"/>
        </w:tabs>
        <w:ind w:left="907" w:hanging="907"/>
        <w:rPr>
          <w:rFonts w:eastAsiaTheme="minorEastAsia"/>
          <w:noProof/>
          <w:lang w:eastAsia="hr-HR"/>
        </w:rPr>
      </w:pPr>
      <w:hyperlink w:anchor="_Toc224047002" w:history="1">
        <w:r w:rsidRPr="00C2006A">
          <w:rPr>
            <w:rStyle w:val="Hiperveza"/>
            <w:rFonts w:cstheme="minorHAnsi"/>
            <w:noProof/>
          </w:rPr>
          <w:t>Tablica 2. Ostvarenje prihoda u 2025. godini s usporednim pokazateljima ostvarenja u 2024. godini i izvornog plana za 2025. godinu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4D46506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03" w:history="1">
        <w:r w:rsidRPr="00C2006A">
          <w:rPr>
            <w:rStyle w:val="Hiperveza"/>
            <w:noProof/>
          </w:rPr>
          <w:t>Tablica 3. Prihodi od pomoći od subjekata unutar općeg proračuna ostvareni u 2025. godini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0334542D" w14:textId="77777777" w:rsidR="002A01D0" w:rsidRDefault="002A01D0" w:rsidP="002A01D0">
      <w:pPr>
        <w:pStyle w:val="Tablicaslika"/>
        <w:tabs>
          <w:tab w:val="right" w:leader="dot" w:pos="9628"/>
        </w:tabs>
        <w:ind w:left="907" w:hanging="907"/>
        <w:rPr>
          <w:rFonts w:eastAsiaTheme="minorEastAsia"/>
          <w:noProof/>
          <w:lang w:eastAsia="hr-HR"/>
        </w:rPr>
      </w:pPr>
      <w:hyperlink w:anchor="_Toc224047004" w:history="1">
        <w:r w:rsidRPr="00C2006A">
          <w:rPr>
            <w:rStyle w:val="Hiperveza"/>
            <w:noProof/>
          </w:rPr>
          <w:t>Tablica 4. Ostvareni prihodi od naknade za ceste u 2025. godini s usporednim pokazateljima ostvarenja u 2024. godini</w:t>
        </w:r>
        <w:r w:rsidRPr="00C2006A">
          <w:rPr>
            <w:rStyle w:val="Hiperveza"/>
            <w:rFonts w:cstheme="minorHAnsi"/>
            <w:noProof/>
          </w:rPr>
          <w:t xml:space="preserve"> i izvornog plana za 2025. godinu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098DF048" w14:textId="77777777" w:rsidR="002A01D0" w:rsidRDefault="002A01D0" w:rsidP="002A01D0">
      <w:pPr>
        <w:pStyle w:val="Tablicaslika"/>
        <w:tabs>
          <w:tab w:val="right" w:leader="dot" w:pos="9628"/>
        </w:tabs>
        <w:ind w:left="907" w:hanging="907"/>
        <w:rPr>
          <w:rFonts w:eastAsiaTheme="minorEastAsia"/>
          <w:noProof/>
          <w:lang w:eastAsia="hr-HR"/>
        </w:rPr>
      </w:pPr>
      <w:hyperlink w:anchor="_Toc224047005" w:history="1">
        <w:r w:rsidRPr="00C2006A">
          <w:rPr>
            <w:rStyle w:val="Hiperveza"/>
            <w:noProof/>
          </w:rPr>
          <w:t>Tablica 5. Izvršenje rashoda i izdataka u 2025. godini s usporednim pokazateljima izvršenja u 2024. godini</w:t>
        </w:r>
        <w:r w:rsidRPr="00C2006A">
          <w:rPr>
            <w:rStyle w:val="Hiperveza"/>
            <w:rFonts w:cstheme="minorHAnsi"/>
            <w:noProof/>
          </w:rPr>
          <w:t xml:space="preserve"> i izvornog plana za 2025. godinu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2547BAE6" w14:textId="77777777" w:rsidR="002A01D0" w:rsidRDefault="002A01D0" w:rsidP="002A01D0">
      <w:pPr>
        <w:pStyle w:val="Tablicaslika"/>
        <w:tabs>
          <w:tab w:val="right" w:leader="dot" w:pos="9628"/>
        </w:tabs>
        <w:ind w:left="907" w:hanging="907"/>
        <w:rPr>
          <w:rFonts w:eastAsiaTheme="minorEastAsia"/>
          <w:noProof/>
          <w:lang w:eastAsia="hr-HR"/>
        </w:rPr>
      </w:pPr>
      <w:hyperlink w:anchor="_Toc224047006" w:history="1">
        <w:r w:rsidRPr="00C2006A">
          <w:rPr>
            <w:rStyle w:val="Hiperveza"/>
            <w:noProof/>
          </w:rPr>
          <w:t>Tablica 6. Izvršenje materijalnih rashoda u 2025. godini s usporednim pokazateljima izvršenja u 2024. godini</w:t>
        </w:r>
        <w:r w:rsidRPr="00C2006A">
          <w:rPr>
            <w:rStyle w:val="Hiperveza"/>
            <w:rFonts w:cstheme="minorHAnsi"/>
            <w:noProof/>
          </w:rPr>
          <w:t xml:space="preserve"> i izvornog plana za 2025. godinu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BD9D1A0" w14:textId="77777777" w:rsidR="002A01D0" w:rsidRDefault="002A01D0" w:rsidP="002F2393">
      <w:pPr>
        <w:pStyle w:val="Tablicaslika"/>
        <w:tabs>
          <w:tab w:val="right" w:leader="dot" w:pos="9628"/>
        </w:tabs>
        <w:ind w:left="907" w:hanging="907"/>
        <w:rPr>
          <w:rFonts w:eastAsiaTheme="minorEastAsia"/>
          <w:noProof/>
          <w:lang w:eastAsia="hr-HR"/>
        </w:rPr>
      </w:pPr>
      <w:hyperlink w:anchor="_Toc224047007" w:history="1">
        <w:r w:rsidRPr="00C2006A">
          <w:rPr>
            <w:rStyle w:val="Hiperveza"/>
            <w:noProof/>
          </w:rPr>
          <w:t>Tablica 7. Izvršenje rashoda za nabavu nefinancijske imovine u 2025. godini s usporednim pokazateljima izvršenja u 2024. godini</w:t>
        </w:r>
        <w:r w:rsidRPr="00C2006A">
          <w:rPr>
            <w:rStyle w:val="Hiperveza"/>
            <w:rFonts w:cstheme="minorHAnsi"/>
            <w:noProof/>
          </w:rPr>
          <w:t xml:space="preserve"> i izvornog plana za 2025. godinu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E4BCE09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08" w:history="1">
        <w:r w:rsidRPr="00C2006A">
          <w:rPr>
            <w:rStyle w:val="Hiperveza"/>
            <w:noProof/>
          </w:rPr>
          <w:t>Tablica 8. Izvršenje Programa 1000: Rashodi uprave i poslovanja u 2025. godini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3D2C2ECC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09" w:history="1">
        <w:r w:rsidRPr="00C2006A">
          <w:rPr>
            <w:rStyle w:val="Hiperveza"/>
            <w:rFonts w:cstheme="minorHAnsi"/>
            <w:noProof/>
          </w:rPr>
          <w:t>Tablica 9. Izvršenje Programa 1001: Izdaci i rashodi po osnovi zaduženja u 2025. godini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30C27F1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10" w:history="1">
        <w:r w:rsidRPr="00C2006A">
          <w:rPr>
            <w:rStyle w:val="Hiperveza"/>
            <w:noProof/>
          </w:rPr>
          <w:t>Tablica 10. Izvršenje Programa 1002: Redovito održavanje cesta u 2025. godini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64652E9A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11" w:history="1">
        <w:r w:rsidRPr="00C2006A">
          <w:rPr>
            <w:rStyle w:val="Hiperveza"/>
            <w:noProof/>
          </w:rPr>
          <w:t>Tablica 11. Izvršenje Programa 1003: Izvanredno održavanje cesta u 2025. godini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18B9B2EC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12" w:history="1">
        <w:r w:rsidRPr="00C2006A">
          <w:rPr>
            <w:rStyle w:val="Hiperveza"/>
            <w:noProof/>
          </w:rPr>
          <w:t>Tablica 12. A 100301 Sanacija županijskih i lokalnih cesta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2711CD92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13" w:history="1">
        <w:r w:rsidRPr="00C2006A">
          <w:rPr>
            <w:rStyle w:val="Hiperveza"/>
            <w:noProof/>
          </w:rPr>
          <w:t>Tablica 13. A 100302 Sanacija mostova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108189A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14" w:history="1">
        <w:r w:rsidRPr="00C2006A">
          <w:rPr>
            <w:rStyle w:val="Hiperveza"/>
            <w:noProof/>
          </w:rPr>
          <w:t>Tablica 14. A 100303 Oprema ceste i postava prometne signalizacije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5EA4BF7C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15" w:history="1">
        <w:r w:rsidRPr="00C2006A">
          <w:rPr>
            <w:rStyle w:val="Hiperveza"/>
            <w:noProof/>
          </w:rPr>
          <w:t>Tablica 15. A 100304 Interventne mjere i zahvati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7152D57B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16" w:history="1">
        <w:r w:rsidRPr="00C2006A">
          <w:rPr>
            <w:rStyle w:val="Hiperveza"/>
            <w:noProof/>
          </w:rPr>
          <w:t>Tablica 16. A 100305 Projektiranje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11D4BCEF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17" w:history="1">
        <w:r w:rsidRPr="00C2006A">
          <w:rPr>
            <w:rStyle w:val="Hiperveza"/>
            <w:noProof/>
          </w:rPr>
          <w:t>Tablica 17. A 100306 Proširenje evidencije baze cestovnih podataka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2960CA02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18" w:history="1">
        <w:r w:rsidRPr="00C2006A">
          <w:rPr>
            <w:rStyle w:val="Hiperveza"/>
            <w:noProof/>
          </w:rPr>
          <w:t>Tablica 18. A 100308 Geodetske usluge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1327683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19" w:history="1">
        <w:r w:rsidRPr="00C2006A">
          <w:rPr>
            <w:rStyle w:val="Hiperveza"/>
            <w:noProof/>
          </w:rPr>
          <w:t>Tablica 19. A 100311 Ostale nespomenute usluge vezane uz radove izvanrednog održavanja cesta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7F93385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20" w:history="1">
        <w:r w:rsidRPr="00C2006A">
          <w:rPr>
            <w:rStyle w:val="Hiperveza"/>
            <w:noProof/>
          </w:rPr>
          <w:t>Tablica 20. Izvršenje Programa 1004: Gradnja cesta u 2025. godini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E3A2412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21" w:history="1">
        <w:r w:rsidRPr="00C2006A">
          <w:rPr>
            <w:rStyle w:val="Hiperveza"/>
            <w:noProof/>
          </w:rPr>
          <w:t>Tablica 21. K 100401 Građenje cesta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1786B912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22" w:history="1">
        <w:r w:rsidRPr="00C2006A">
          <w:rPr>
            <w:rStyle w:val="Hiperveza"/>
            <w:noProof/>
          </w:rPr>
          <w:t>Tablica 22. K 100405 Projektiranje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676A069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23" w:history="1">
        <w:r w:rsidRPr="00C2006A">
          <w:rPr>
            <w:rStyle w:val="Hiperveza"/>
            <w:noProof/>
          </w:rPr>
          <w:t>Tablica 23. Ukupno uložena sredstva u ceste po vrsti programa u 2025. godini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FF4B0D1" w14:textId="77777777" w:rsidR="002A01D0" w:rsidRDefault="002A01D0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024" w:history="1">
        <w:r w:rsidRPr="00C2006A">
          <w:rPr>
            <w:rStyle w:val="Hiperveza"/>
            <w:iCs/>
            <w:noProof/>
          </w:rPr>
          <w:t>Tablica 24. Preneseni radovi izvanrednog održavanja i gradnje cesta iz 2025. godine u 2026. godinu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D56DBF1" w14:textId="0EEEE10E" w:rsidR="003658FB" w:rsidRDefault="0020248B" w:rsidP="007119F8">
      <w:pPr>
        <w:spacing w:after="0" w:line="240" w:lineRule="auto"/>
      </w:pPr>
      <w:r w:rsidRPr="00F7445E">
        <w:fldChar w:fldCharType="end"/>
      </w:r>
      <w:r w:rsidR="000632DD">
        <w:br w:type="page"/>
      </w:r>
    </w:p>
    <w:p w14:paraId="07E0A18F" w14:textId="3E4FA271" w:rsidR="000632DD" w:rsidRPr="00F171FA" w:rsidRDefault="000632DD" w:rsidP="00EC6EAF">
      <w:pPr>
        <w:pStyle w:val="Naslov1"/>
      </w:pPr>
      <w:bookmarkStart w:id="82" w:name="_Toc224047563"/>
      <w:r w:rsidRPr="003658FB">
        <w:lastRenderedPageBreak/>
        <w:t>POPIS</w:t>
      </w:r>
      <w:r w:rsidRPr="00F171FA">
        <w:t xml:space="preserve"> </w:t>
      </w:r>
      <w:r w:rsidRPr="003658FB">
        <w:t>GRAFIKONA</w:t>
      </w:r>
      <w:bookmarkEnd w:id="82"/>
    </w:p>
    <w:p w14:paraId="25C8D06F" w14:textId="77777777" w:rsidR="00500F5F" w:rsidRDefault="000632DD" w:rsidP="00500F5F">
      <w:pPr>
        <w:pStyle w:val="Tablicaslika"/>
        <w:tabs>
          <w:tab w:val="right" w:leader="dot" w:pos="9628"/>
        </w:tabs>
        <w:ind w:left="1049" w:hanging="1049"/>
        <w:rPr>
          <w:rFonts w:eastAsiaTheme="minorEastAsia"/>
          <w:noProof/>
          <w:lang w:eastAsia="hr-HR"/>
        </w:rPr>
      </w:pPr>
      <w:r w:rsidRPr="00F7445E">
        <w:rPr>
          <w:rFonts w:cstheme="minorHAnsi"/>
          <w:b/>
        </w:rPr>
        <w:fldChar w:fldCharType="begin"/>
      </w:r>
      <w:r w:rsidRPr="00F7445E">
        <w:rPr>
          <w:rFonts w:cstheme="minorHAnsi"/>
          <w:b/>
        </w:rPr>
        <w:instrText xml:space="preserve"> TOC \h \z \c "Grafikon" </w:instrText>
      </w:r>
      <w:r w:rsidRPr="00F7445E">
        <w:rPr>
          <w:rFonts w:cstheme="minorHAnsi"/>
          <w:b/>
        </w:rPr>
        <w:fldChar w:fldCharType="separate"/>
      </w:r>
      <w:hyperlink w:anchor="_Toc224047150" w:history="1">
        <w:r w:rsidR="00500F5F" w:rsidRPr="00374FE3">
          <w:rPr>
            <w:rStyle w:val="Hiperveza"/>
            <w:rFonts w:cstheme="minorHAnsi"/>
            <w:noProof/>
          </w:rPr>
          <w:t>Grafikon 1. Ostvarenje prihoda u 2025. godini s usporednim pokazateljima ostvarenja u 2024. godini i izvornog plana za 2025. godinu</w:t>
        </w:r>
        <w:r w:rsidR="00500F5F">
          <w:rPr>
            <w:noProof/>
            <w:webHidden/>
          </w:rPr>
          <w:tab/>
        </w:r>
        <w:r w:rsidR="00500F5F">
          <w:rPr>
            <w:noProof/>
            <w:webHidden/>
          </w:rPr>
          <w:fldChar w:fldCharType="begin"/>
        </w:r>
        <w:r w:rsidR="00500F5F">
          <w:rPr>
            <w:noProof/>
            <w:webHidden/>
          </w:rPr>
          <w:instrText xml:space="preserve"> PAGEREF _Toc224047150 \h </w:instrText>
        </w:r>
        <w:r w:rsidR="00500F5F">
          <w:rPr>
            <w:noProof/>
            <w:webHidden/>
          </w:rPr>
        </w:r>
        <w:r w:rsidR="00500F5F">
          <w:rPr>
            <w:noProof/>
            <w:webHidden/>
          </w:rPr>
          <w:fldChar w:fldCharType="separate"/>
        </w:r>
        <w:r w:rsidR="00500F5F">
          <w:rPr>
            <w:noProof/>
            <w:webHidden/>
          </w:rPr>
          <w:t>17</w:t>
        </w:r>
        <w:r w:rsidR="00500F5F">
          <w:rPr>
            <w:noProof/>
            <w:webHidden/>
          </w:rPr>
          <w:fldChar w:fldCharType="end"/>
        </w:r>
      </w:hyperlink>
    </w:p>
    <w:p w14:paraId="23F1087E" w14:textId="77777777" w:rsidR="00500F5F" w:rsidRDefault="00500F5F" w:rsidP="00500F5F">
      <w:pPr>
        <w:pStyle w:val="Tablicaslika"/>
        <w:tabs>
          <w:tab w:val="right" w:leader="dot" w:pos="9628"/>
        </w:tabs>
        <w:ind w:left="1049" w:hanging="1049"/>
        <w:rPr>
          <w:rFonts w:eastAsiaTheme="minorEastAsia"/>
          <w:noProof/>
          <w:lang w:eastAsia="hr-HR"/>
        </w:rPr>
      </w:pPr>
      <w:hyperlink w:anchor="_Toc224047151" w:history="1">
        <w:r w:rsidRPr="00374FE3">
          <w:rPr>
            <w:rStyle w:val="Hiperveza"/>
            <w:noProof/>
          </w:rPr>
          <w:t>Grafikon 2. Izvršenje rashoda i izdataka u 2025. godini s usporednim pokazateljima izvršenja u 2024. godini i izvornog plana za 2025. godinu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0DF9F44" w14:textId="77777777" w:rsidR="00500F5F" w:rsidRDefault="00500F5F">
      <w:pPr>
        <w:pStyle w:val="Tablicaslika"/>
        <w:tabs>
          <w:tab w:val="right" w:leader="dot" w:pos="9628"/>
        </w:tabs>
        <w:rPr>
          <w:rFonts w:eastAsiaTheme="minorEastAsia"/>
          <w:noProof/>
          <w:lang w:eastAsia="hr-HR"/>
        </w:rPr>
      </w:pPr>
      <w:hyperlink w:anchor="_Toc224047152" w:history="1">
        <w:r w:rsidRPr="00374FE3">
          <w:rPr>
            <w:rStyle w:val="Hiperveza"/>
            <w:noProof/>
          </w:rPr>
          <w:t>Grafikon 3. Ukupno uložena sredstva u ceste po vrsti programa u 2025. godini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_Toc224047152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1A9E4B24" w14:textId="77777777" w:rsidR="000632DD" w:rsidRPr="00F7445E" w:rsidRDefault="000632DD" w:rsidP="000632DD">
      <w:pPr>
        <w:spacing w:before="240" w:after="240" w:line="240" w:lineRule="auto"/>
        <w:jc w:val="both"/>
        <w:rPr>
          <w:rFonts w:cstheme="minorHAnsi"/>
        </w:rPr>
      </w:pPr>
      <w:r w:rsidRPr="00F7445E">
        <w:rPr>
          <w:rFonts w:cstheme="minorHAnsi"/>
          <w:b/>
        </w:rPr>
        <w:fldChar w:fldCharType="end"/>
      </w:r>
    </w:p>
    <w:sectPr w:rsidR="000632DD" w:rsidRPr="00F7445E" w:rsidSect="004316A2">
      <w:pgSz w:w="11906" w:h="16838" w:code="9"/>
      <w:pgMar w:top="1134" w:right="1134" w:bottom="1134" w:left="1134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3665" w14:textId="77777777" w:rsidR="00137B1B" w:rsidRDefault="00137B1B" w:rsidP="002913D7">
      <w:pPr>
        <w:spacing w:after="0" w:line="240" w:lineRule="auto"/>
      </w:pPr>
      <w:r>
        <w:separator/>
      </w:r>
    </w:p>
  </w:endnote>
  <w:endnote w:type="continuationSeparator" w:id="0">
    <w:p w14:paraId="1534B212" w14:textId="77777777" w:rsidR="00137B1B" w:rsidRDefault="00137B1B" w:rsidP="0029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K Grotesk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393269"/>
      <w:docPartObj>
        <w:docPartGallery w:val="Page Numbers (Bottom of Page)"/>
        <w:docPartUnique/>
      </w:docPartObj>
    </w:sdtPr>
    <w:sdtEndPr/>
    <w:sdtContent>
      <w:p w14:paraId="7CB41519" w14:textId="76806A43" w:rsidR="0079387D" w:rsidRDefault="0079387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BD3">
          <w:rPr>
            <w:noProof/>
          </w:rPr>
          <w:t>40</w:t>
        </w:r>
        <w:r>
          <w:fldChar w:fldCharType="end"/>
        </w:r>
      </w:p>
    </w:sdtContent>
  </w:sdt>
  <w:p w14:paraId="22813A83" w14:textId="582C72A4" w:rsidR="0079387D" w:rsidRPr="00474E7C" w:rsidRDefault="0079387D" w:rsidP="001401C2">
    <w:pPr>
      <w:pStyle w:val="Zaglavlje"/>
      <w:ind w:left="-426"/>
      <w:rPr>
        <w:rFonts w:ascii="HK Grotesk" w:hAnsi="HK Grotesk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8B0D6" w14:textId="77777777" w:rsidR="00137B1B" w:rsidRDefault="00137B1B" w:rsidP="002913D7">
      <w:pPr>
        <w:spacing w:after="0" w:line="240" w:lineRule="auto"/>
      </w:pPr>
      <w:r>
        <w:separator/>
      </w:r>
    </w:p>
  </w:footnote>
  <w:footnote w:type="continuationSeparator" w:id="0">
    <w:p w14:paraId="7AE4AC68" w14:textId="77777777" w:rsidR="00137B1B" w:rsidRDefault="00137B1B" w:rsidP="002913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E8C"/>
    <w:multiLevelType w:val="hybridMultilevel"/>
    <w:tmpl w:val="7946DC92"/>
    <w:lvl w:ilvl="0" w:tplc="8F76251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71640"/>
    <w:multiLevelType w:val="hybridMultilevel"/>
    <w:tmpl w:val="65F849E8"/>
    <w:lvl w:ilvl="0" w:tplc="18BC2226">
      <w:numFmt w:val="bullet"/>
      <w:suff w:val="space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A4B20"/>
    <w:multiLevelType w:val="hybridMultilevel"/>
    <w:tmpl w:val="55A40A52"/>
    <w:lvl w:ilvl="0" w:tplc="1534E62A">
      <w:start w:val="1"/>
      <w:numFmt w:val="bullet"/>
      <w:suff w:val="space"/>
      <w:lvlText w:val=""/>
      <w:lvlJc w:val="left"/>
      <w:pPr>
        <w:ind w:left="170" w:firstLine="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F5728"/>
    <w:multiLevelType w:val="hybridMultilevel"/>
    <w:tmpl w:val="E5EE854A"/>
    <w:lvl w:ilvl="0" w:tplc="041A0005">
      <w:start w:val="1"/>
      <w:numFmt w:val="bullet"/>
      <w:lvlText w:val=""/>
      <w:lvlJc w:val="left"/>
      <w:pPr>
        <w:ind w:left="147" w:hanging="147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15D37"/>
    <w:multiLevelType w:val="multilevel"/>
    <w:tmpl w:val="7212A084"/>
    <w:styleLink w:val="Sti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28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590093D"/>
    <w:multiLevelType w:val="hybridMultilevel"/>
    <w:tmpl w:val="158CFC7C"/>
    <w:lvl w:ilvl="0" w:tplc="CA6645E8">
      <w:start w:val="1"/>
      <w:numFmt w:val="bullet"/>
      <w:suff w:val="space"/>
      <w:lvlText w:val=""/>
      <w:lvlJc w:val="left"/>
      <w:pPr>
        <w:ind w:left="170" w:firstLine="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34CFD"/>
    <w:multiLevelType w:val="hybridMultilevel"/>
    <w:tmpl w:val="AF166E1C"/>
    <w:lvl w:ilvl="0" w:tplc="51FE00E4">
      <w:start w:val="1"/>
      <w:numFmt w:val="bullet"/>
      <w:suff w:val="space"/>
      <w:lvlText w:val=""/>
      <w:lvlJc w:val="left"/>
      <w:pPr>
        <w:ind w:left="587" w:hanging="587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8D04565"/>
    <w:multiLevelType w:val="hybridMultilevel"/>
    <w:tmpl w:val="28D25ABA"/>
    <w:lvl w:ilvl="0" w:tplc="076C0E3C">
      <w:start w:val="1"/>
      <w:numFmt w:val="bullet"/>
      <w:suff w:val="space"/>
      <w:lvlText w:val="-"/>
      <w:lvlJc w:val="left"/>
      <w:pPr>
        <w:ind w:left="587" w:hanging="587"/>
      </w:pPr>
      <w:rPr>
        <w:rFonts w:ascii="Calibri" w:hAnsi="Calibri" w:hint="default"/>
        <w:b w:val="0"/>
        <w:i w:val="0"/>
        <w:color w:val="auto"/>
        <w:spacing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A76B9"/>
    <w:multiLevelType w:val="hybridMultilevel"/>
    <w:tmpl w:val="EFFC2184"/>
    <w:lvl w:ilvl="0" w:tplc="041A0005">
      <w:start w:val="1"/>
      <w:numFmt w:val="bullet"/>
      <w:lvlText w:val=""/>
      <w:lvlJc w:val="left"/>
      <w:pPr>
        <w:ind w:left="170" w:firstLine="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A7482"/>
    <w:multiLevelType w:val="hybridMultilevel"/>
    <w:tmpl w:val="FCAC07BC"/>
    <w:lvl w:ilvl="0" w:tplc="B3B229E8">
      <w:numFmt w:val="bullet"/>
      <w:suff w:val="space"/>
      <w:lvlText w:val="-"/>
      <w:lvlJc w:val="left"/>
      <w:pPr>
        <w:ind w:left="717" w:hanging="490"/>
      </w:pPr>
      <w:rPr>
        <w:rFonts w:ascii="Tahoma" w:eastAsiaTheme="minorHAnsi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44053E8A"/>
    <w:multiLevelType w:val="hybridMultilevel"/>
    <w:tmpl w:val="F71698C8"/>
    <w:lvl w:ilvl="0" w:tplc="2124A716">
      <w:start w:val="1"/>
      <w:numFmt w:val="bullet"/>
      <w:suff w:val="space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C5258"/>
    <w:multiLevelType w:val="hybridMultilevel"/>
    <w:tmpl w:val="CF465230"/>
    <w:lvl w:ilvl="0" w:tplc="041A0005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E0D65"/>
    <w:multiLevelType w:val="hybridMultilevel"/>
    <w:tmpl w:val="3464382E"/>
    <w:lvl w:ilvl="0" w:tplc="E7B0DE92">
      <w:start w:val="3"/>
      <w:numFmt w:val="bullet"/>
      <w:suff w:val="space"/>
      <w:lvlText w:val="-"/>
      <w:lvlJc w:val="left"/>
      <w:pPr>
        <w:ind w:left="0" w:firstLine="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315BB"/>
    <w:multiLevelType w:val="hybridMultilevel"/>
    <w:tmpl w:val="DCD6B9E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60E2C"/>
    <w:multiLevelType w:val="hybridMultilevel"/>
    <w:tmpl w:val="277C0CDE"/>
    <w:lvl w:ilvl="0" w:tplc="59407D74">
      <w:numFmt w:val="bullet"/>
      <w:suff w:val="space"/>
      <w:lvlText w:val="-"/>
      <w:lvlJc w:val="left"/>
      <w:pPr>
        <w:ind w:left="714" w:hanging="147"/>
      </w:pPr>
      <w:rPr>
        <w:rFonts w:ascii="Calibri" w:eastAsiaTheme="minorHAns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B9C42D8"/>
    <w:multiLevelType w:val="hybridMultilevel"/>
    <w:tmpl w:val="4BE623D6"/>
    <w:lvl w:ilvl="0" w:tplc="829AE1AA">
      <w:start w:val="1"/>
      <w:numFmt w:val="bullet"/>
      <w:suff w:val="space"/>
      <w:lvlText w:val=""/>
      <w:lvlJc w:val="left"/>
      <w:pPr>
        <w:ind w:left="587" w:hanging="587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C1D1128"/>
    <w:multiLevelType w:val="hybridMultilevel"/>
    <w:tmpl w:val="4E5C8EE0"/>
    <w:lvl w:ilvl="0" w:tplc="AFCE10D2">
      <w:start w:val="1"/>
      <w:numFmt w:val="decimal"/>
      <w:suff w:val="space"/>
      <w:lvlText w:val="%1."/>
      <w:lvlJc w:val="left"/>
      <w:pPr>
        <w:ind w:left="717" w:hanging="71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77C5507"/>
    <w:multiLevelType w:val="hybridMultilevel"/>
    <w:tmpl w:val="7E0AD43A"/>
    <w:lvl w:ilvl="0" w:tplc="204ED610">
      <w:start w:val="1"/>
      <w:numFmt w:val="bullet"/>
      <w:suff w:val="space"/>
      <w:lvlText w:val=""/>
      <w:lvlJc w:val="left"/>
      <w:pPr>
        <w:ind w:left="170" w:firstLine="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413EB"/>
    <w:multiLevelType w:val="multilevel"/>
    <w:tmpl w:val="0F7AF892"/>
    <w:lvl w:ilvl="0">
      <w:start w:val="1"/>
      <w:numFmt w:val="decimal"/>
      <w:pStyle w:val="Naslov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E032563"/>
    <w:multiLevelType w:val="hybridMultilevel"/>
    <w:tmpl w:val="EB5E1738"/>
    <w:lvl w:ilvl="0" w:tplc="AABEC55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B5C7E"/>
    <w:multiLevelType w:val="hybridMultilevel"/>
    <w:tmpl w:val="71347848"/>
    <w:lvl w:ilvl="0" w:tplc="67628164">
      <w:start w:val="1"/>
      <w:numFmt w:val="bullet"/>
      <w:suff w:val="space"/>
      <w:lvlText w:val=""/>
      <w:lvlJc w:val="left"/>
      <w:pPr>
        <w:ind w:left="0" w:firstLine="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E2A40"/>
    <w:multiLevelType w:val="hybridMultilevel"/>
    <w:tmpl w:val="B5147248"/>
    <w:lvl w:ilvl="0" w:tplc="041A0005">
      <w:start w:val="1"/>
      <w:numFmt w:val="bullet"/>
      <w:lvlText w:val=""/>
      <w:lvlJc w:val="left"/>
      <w:pPr>
        <w:ind w:left="170" w:firstLine="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A0B80"/>
    <w:multiLevelType w:val="hybridMultilevel"/>
    <w:tmpl w:val="D0D8687C"/>
    <w:lvl w:ilvl="0" w:tplc="6254AD90">
      <w:start w:val="1"/>
      <w:numFmt w:val="bullet"/>
      <w:suff w:val="space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260388">
    <w:abstractNumId w:val="9"/>
  </w:num>
  <w:num w:numId="2" w16cid:durableId="1123231448">
    <w:abstractNumId w:val="16"/>
  </w:num>
  <w:num w:numId="3" w16cid:durableId="2111269120">
    <w:abstractNumId w:val="7"/>
  </w:num>
  <w:num w:numId="4" w16cid:durableId="1375538062">
    <w:abstractNumId w:val="1"/>
  </w:num>
  <w:num w:numId="5" w16cid:durableId="238710077">
    <w:abstractNumId w:val="3"/>
  </w:num>
  <w:num w:numId="6" w16cid:durableId="1103648443">
    <w:abstractNumId w:val="12"/>
  </w:num>
  <w:num w:numId="7" w16cid:durableId="1676153965">
    <w:abstractNumId w:val="20"/>
  </w:num>
  <w:num w:numId="8" w16cid:durableId="613903284">
    <w:abstractNumId w:val="14"/>
  </w:num>
  <w:num w:numId="9" w16cid:durableId="507864993">
    <w:abstractNumId w:val="11"/>
  </w:num>
  <w:num w:numId="10" w16cid:durableId="328680659">
    <w:abstractNumId w:val="4"/>
  </w:num>
  <w:num w:numId="11" w16cid:durableId="955873643">
    <w:abstractNumId w:val="18"/>
  </w:num>
  <w:num w:numId="12" w16cid:durableId="1202091937">
    <w:abstractNumId w:val="0"/>
  </w:num>
  <w:num w:numId="13" w16cid:durableId="1639802150">
    <w:abstractNumId w:val="2"/>
  </w:num>
  <w:num w:numId="14" w16cid:durableId="361512615">
    <w:abstractNumId w:val="21"/>
  </w:num>
  <w:num w:numId="15" w16cid:durableId="1276133931">
    <w:abstractNumId w:val="10"/>
  </w:num>
  <w:num w:numId="16" w16cid:durableId="242883569">
    <w:abstractNumId w:val="15"/>
  </w:num>
  <w:num w:numId="17" w16cid:durableId="2101757665">
    <w:abstractNumId w:val="6"/>
  </w:num>
  <w:num w:numId="18" w16cid:durableId="1011372323">
    <w:abstractNumId w:val="13"/>
  </w:num>
  <w:num w:numId="19" w16cid:durableId="1121873534">
    <w:abstractNumId w:val="19"/>
  </w:num>
  <w:num w:numId="20" w16cid:durableId="33192752">
    <w:abstractNumId w:val="5"/>
  </w:num>
  <w:num w:numId="21" w16cid:durableId="776677025">
    <w:abstractNumId w:val="8"/>
  </w:num>
  <w:num w:numId="22" w16cid:durableId="455147790">
    <w:abstractNumId w:val="17"/>
  </w:num>
  <w:num w:numId="23" w16cid:durableId="933560504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3D7"/>
    <w:rsid w:val="00000E13"/>
    <w:rsid w:val="000026A9"/>
    <w:rsid w:val="000032C7"/>
    <w:rsid w:val="00004290"/>
    <w:rsid w:val="00005A64"/>
    <w:rsid w:val="00005C22"/>
    <w:rsid w:val="00006BBF"/>
    <w:rsid w:val="0000751B"/>
    <w:rsid w:val="00013574"/>
    <w:rsid w:val="0001391A"/>
    <w:rsid w:val="000142A9"/>
    <w:rsid w:val="00017CCC"/>
    <w:rsid w:val="00021C5F"/>
    <w:rsid w:val="00021CC3"/>
    <w:rsid w:val="000227B7"/>
    <w:rsid w:val="00023931"/>
    <w:rsid w:val="00030EAB"/>
    <w:rsid w:val="0003120A"/>
    <w:rsid w:val="00032F82"/>
    <w:rsid w:val="00033338"/>
    <w:rsid w:val="00034338"/>
    <w:rsid w:val="00040EAB"/>
    <w:rsid w:val="00043184"/>
    <w:rsid w:val="00045622"/>
    <w:rsid w:val="00045909"/>
    <w:rsid w:val="00046E48"/>
    <w:rsid w:val="0005039D"/>
    <w:rsid w:val="00053E50"/>
    <w:rsid w:val="00055B85"/>
    <w:rsid w:val="0005642D"/>
    <w:rsid w:val="00056A72"/>
    <w:rsid w:val="0006008A"/>
    <w:rsid w:val="00060840"/>
    <w:rsid w:val="00060C53"/>
    <w:rsid w:val="00061628"/>
    <w:rsid w:val="0006261D"/>
    <w:rsid w:val="000632DD"/>
    <w:rsid w:val="0007331A"/>
    <w:rsid w:val="00073663"/>
    <w:rsid w:val="00076F17"/>
    <w:rsid w:val="00080023"/>
    <w:rsid w:val="00080FA4"/>
    <w:rsid w:val="00082A83"/>
    <w:rsid w:val="00084AD5"/>
    <w:rsid w:val="000859A8"/>
    <w:rsid w:val="00090D3B"/>
    <w:rsid w:val="0009186C"/>
    <w:rsid w:val="00093E46"/>
    <w:rsid w:val="0009569C"/>
    <w:rsid w:val="00097D66"/>
    <w:rsid w:val="000A0266"/>
    <w:rsid w:val="000A235D"/>
    <w:rsid w:val="000A602B"/>
    <w:rsid w:val="000A6699"/>
    <w:rsid w:val="000A6D92"/>
    <w:rsid w:val="000B0438"/>
    <w:rsid w:val="000B0D04"/>
    <w:rsid w:val="000B3532"/>
    <w:rsid w:val="000B3A72"/>
    <w:rsid w:val="000B6926"/>
    <w:rsid w:val="000B69F8"/>
    <w:rsid w:val="000B7675"/>
    <w:rsid w:val="000C10DB"/>
    <w:rsid w:val="000C239F"/>
    <w:rsid w:val="000C2BF2"/>
    <w:rsid w:val="000C314A"/>
    <w:rsid w:val="000C3489"/>
    <w:rsid w:val="000C3F3B"/>
    <w:rsid w:val="000C4AFF"/>
    <w:rsid w:val="000C4D5F"/>
    <w:rsid w:val="000C5580"/>
    <w:rsid w:val="000C6009"/>
    <w:rsid w:val="000C6D84"/>
    <w:rsid w:val="000C74F0"/>
    <w:rsid w:val="000D0ADD"/>
    <w:rsid w:val="000D11E2"/>
    <w:rsid w:val="000D1268"/>
    <w:rsid w:val="000D2090"/>
    <w:rsid w:val="000D3341"/>
    <w:rsid w:val="000D4DA9"/>
    <w:rsid w:val="000D7A75"/>
    <w:rsid w:val="000E2B79"/>
    <w:rsid w:val="000E4315"/>
    <w:rsid w:val="000E522A"/>
    <w:rsid w:val="000E6B34"/>
    <w:rsid w:val="000E7AD5"/>
    <w:rsid w:val="000F1741"/>
    <w:rsid w:val="000F2DAD"/>
    <w:rsid w:val="000F4776"/>
    <w:rsid w:val="0010044E"/>
    <w:rsid w:val="00101050"/>
    <w:rsid w:val="0010124B"/>
    <w:rsid w:val="00101CBC"/>
    <w:rsid w:val="00103533"/>
    <w:rsid w:val="00107904"/>
    <w:rsid w:val="00110665"/>
    <w:rsid w:val="001106AC"/>
    <w:rsid w:val="00111259"/>
    <w:rsid w:val="001149FA"/>
    <w:rsid w:val="00114DCF"/>
    <w:rsid w:val="00115E47"/>
    <w:rsid w:val="00121B78"/>
    <w:rsid w:val="00121D9B"/>
    <w:rsid w:val="00124E90"/>
    <w:rsid w:val="00125C1B"/>
    <w:rsid w:val="0012677B"/>
    <w:rsid w:val="00130AAE"/>
    <w:rsid w:val="00133C69"/>
    <w:rsid w:val="001344AB"/>
    <w:rsid w:val="00136596"/>
    <w:rsid w:val="001369B8"/>
    <w:rsid w:val="00136CB1"/>
    <w:rsid w:val="00137039"/>
    <w:rsid w:val="00137B1B"/>
    <w:rsid w:val="001401C2"/>
    <w:rsid w:val="0014164A"/>
    <w:rsid w:val="00143C56"/>
    <w:rsid w:val="00144858"/>
    <w:rsid w:val="00145604"/>
    <w:rsid w:val="001462F8"/>
    <w:rsid w:val="00150434"/>
    <w:rsid w:val="0015158B"/>
    <w:rsid w:val="00152F86"/>
    <w:rsid w:val="00154FAB"/>
    <w:rsid w:val="00155199"/>
    <w:rsid w:val="001571A2"/>
    <w:rsid w:val="001574BF"/>
    <w:rsid w:val="00161444"/>
    <w:rsid w:val="00161983"/>
    <w:rsid w:val="00161C2B"/>
    <w:rsid w:val="001647EA"/>
    <w:rsid w:val="001664CF"/>
    <w:rsid w:val="001675BC"/>
    <w:rsid w:val="0016794E"/>
    <w:rsid w:val="001702BD"/>
    <w:rsid w:val="001731A6"/>
    <w:rsid w:val="001737C0"/>
    <w:rsid w:val="00173AA0"/>
    <w:rsid w:val="001742C3"/>
    <w:rsid w:val="00174C2A"/>
    <w:rsid w:val="0017621C"/>
    <w:rsid w:val="00177119"/>
    <w:rsid w:val="0017770F"/>
    <w:rsid w:val="00180C02"/>
    <w:rsid w:val="00181E34"/>
    <w:rsid w:val="00183048"/>
    <w:rsid w:val="0018372A"/>
    <w:rsid w:val="00186386"/>
    <w:rsid w:val="00186B7B"/>
    <w:rsid w:val="00187743"/>
    <w:rsid w:val="00187C57"/>
    <w:rsid w:val="0019011D"/>
    <w:rsid w:val="00191559"/>
    <w:rsid w:val="00191E1C"/>
    <w:rsid w:val="001948C5"/>
    <w:rsid w:val="00194D11"/>
    <w:rsid w:val="001951A2"/>
    <w:rsid w:val="0019642F"/>
    <w:rsid w:val="001A2CE1"/>
    <w:rsid w:val="001A34D4"/>
    <w:rsid w:val="001A3C6E"/>
    <w:rsid w:val="001A3D4C"/>
    <w:rsid w:val="001A4371"/>
    <w:rsid w:val="001A5C8E"/>
    <w:rsid w:val="001A6194"/>
    <w:rsid w:val="001A64D8"/>
    <w:rsid w:val="001A71A6"/>
    <w:rsid w:val="001B0CB0"/>
    <w:rsid w:val="001C2066"/>
    <w:rsid w:val="001C2B90"/>
    <w:rsid w:val="001C2D20"/>
    <w:rsid w:val="001C425F"/>
    <w:rsid w:val="001C51C4"/>
    <w:rsid w:val="001C5CC2"/>
    <w:rsid w:val="001C710A"/>
    <w:rsid w:val="001D1DBC"/>
    <w:rsid w:val="001D29D3"/>
    <w:rsid w:val="001D54E9"/>
    <w:rsid w:val="001D5E03"/>
    <w:rsid w:val="001D5EF6"/>
    <w:rsid w:val="001D65EF"/>
    <w:rsid w:val="001D6A77"/>
    <w:rsid w:val="001E5D98"/>
    <w:rsid w:val="001E684F"/>
    <w:rsid w:val="001E70E7"/>
    <w:rsid w:val="001F0379"/>
    <w:rsid w:val="001F0BA7"/>
    <w:rsid w:val="001F3099"/>
    <w:rsid w:val="001F6D0F"/>
    <w:rsid w:val="001F7791"/>
    <w:rsid w:val="002000DB"/>
    <w:rsid w:val="00200ACC"/>
    <w:rsid w:val="0020248B"/>
    <w:rsid w:val="00205128"/>
    <w:rsid w:val="002062C0"/>
    <w:rsid w:val="00207815"/>
    <w:rsid w:val="00210A56"/>
    <w:rsid w:val="00211CA5"/>
    <w:rsid w:val="0021367B"/>
    <w:rsid w:val="00214C0E"/>
    <w:rsid w:val="00215332"/>
    <w:rsid w:val="00215F1A"/>
    <w:rsid w:val="00216E3B"/>
    <w:rsid w:val="00217849"/>
    <w:rsid w:val="00221F91"/>
    <w:rsid w:val="00222ABD"/>
    <w:rsid w:val="002236C4"/>
    <w:rsid w:val="0022376E"/>
    <w:rsid w:val="0022388B"/>
    <w:rsid w:val="0022558F"/>
    <w:rsid w:val="00226A9A"/>
    <w:rsid w:val="002308A7"/>
    <w:rsid w:val="00230A05"/>
    <w:rsid w:val="00232197"/>
    <w:rsid w:val="002336DE"/>
    <w:rsid w:val="00233A8D"/>
    <w:rsid w:val="00240CF7"/>
    <w:rsid w:val="0024344A"/>
    <w:rsid w:val="002447BC"/>
    <w:rsid w:val="002451C3"/>
    <w:rsid w:val="0025071A"/>
    <w:rsid w:val="00250737"/>
    <w:rsid w:val="002521F9"/>
    <w:rsid w:val="00252260"/>
    <w:rsid w:val="002559D8"/>
    <w:rsid w:val="00262768"/>
    <w:rsid w:val="0026286E"/>
    <w:rsid w:val="00262E78"/>
    <w:rsid w:val="00265945"/>
    <w:rsid w:val="00266099"/>
    <w:rsid w:val="00270504"/>
    <w:rsid w:val="002722BF"/>
    <w:rsid w:val="00274364"/>
    <w:rsid w:val="00280430"/>
    <w:rsid w:val="002809D4"/>
    <w:rsid w:val="002832C5"/>
    <w:rsid w:val="0028366D"/>
    <w:rsid w:val="002846C1"/>
    <w:rsid w:val="002864CA"/>
    <w:rsid w:val="002913D7"/>
    <w:rsid w:val="00291614"/>
    <w:rsid w:val="002919EC"/>
    <w:rsid w:val="0029390F"/>
    <w:rsid w:val="00294466"/>
    <w:rsid w:val="00297E6A"/>
    <w:rsid w:val="002A0165"/>
    <w:rsid w:val="002A01D0"/>
    <w:rsid w:val="002A098F"/>
    <w:rsid w:val="002A32CB"/>
    <w:rsid w:val="002A3994"/>
    <w:rsid w:val="002A3C82"/>
    <w:rsid w:val="002A5323"/>
    <w:rsid w:val="002A5BD2"/>
    <w:rsid w:val="002A6221"/>
    <w:rsid w:val="002B0DEF"/>
    <w:rsid w:val="002B1105"/>
    <w:rsid w:val="002B138D"/>
    <w:rsid w:val="002B14FC"/>
    <w:rsid w:val="002B6355"/>
    <w:rsid w:val="002B7236"/>
    <w:rsid w:val="002C1180"/>
    <w:rsid w:val="002C2089"/>
    <w:rsid w:val="002C26DC"/>
    <w:rsid w:val="002C2E3B"/>
    <w:rsid w:val="002C3090"/>
    <w:rsid w:val="002C402A"/>
    <w:rsid w:val="002C47DD"/>
    <w:rsid w:val="002C59E9"/>
    <w:rsid w:val="002D1C61"/>
    <w:rsid w:val="002D2E7A"/>
    <w:rsid w:val="002D3ACB"/>
    <w:rsid w:val="002D4EE7"/>
    <w:rsid w:val="002E4721"/>
    <w:rsid w:val="002E74CC"/>
    <w:rsid w:val="002F2393"/>
    <w:rsid w:val="002F32C6"/>
    <w:rsid w:val="002F355D"/>
    <w:rsid w:val="002F684B"/>
    <w:rsid w:val="00300E56"/>
    <w:rsid w:val="00306D7F"/>
    <w:rsid w:val="00310D7E"/>
    <w:rsid w:val="003111C8"/>
    <w:rsid w:val="003124C7"/>
    <w:rsid w:val="00315A25"/>
    <w:rsid w:val="0031719F"/>
    <w:rsid w:val="00317A06"/>
    <w:rsid w:val="00321453"/>
    <w:rsid w:val="00325B7C"/>
    <w:rsid w:val="0032772C"/>
    <w:rsid w:val="00327F1F"/>
    <w:rsid w:val="00330692"/>
    <w:rsid w:val="00331AC2"/>
    <w:rsid w:val="003320BE"/>
    <w:rsid w:val="00332AE3"/>
    <w:rsid w:val="00333EA0"/>
    <w:rsid w:val="00335322"/>
    <w:rsid w:val="00341995"/>
    <w:rsid w:val="0034324F"/>
    <w:rsid w:val="0034698E"/>
    <w:rsid w:val="00350C8B"/>
    <w:rsid w:val="003511CF"/>
    <w:rsid w:val="003512DB"/>
    <w:rsid w:val="00353AD1"/>
    <w:rsid w:val="003547EC"/>
    <w:rsid w:val="00354B55"/>
    <w:rsid w:val="00355247"/>
    <w:rsid w:val="00357F92"/>
    <w:rsid w:val="00362353"/>
    <w:rsid w:val="00362F93"/>
    <w:rsid w:val="003658FB"/>
    <w:rsid w:val="00367209"/>
    <w:rsid w:val="00367836"/>
    <w:rsid w:val="0037087B"/>
    <w:rsid w:val="003708E7"/>
    <w:rsid w:val="00370AA8"/>
    <w:rsid w:val="0037137B"/>
    <w:rsid w:val="00371D62"/>
    <w:rsid w:val="00372EC6"/>
    <w:rsid w:val="00372F23"/>
    <w:rsid w:val="00374AB6"/>
    <w:rsid w:val="003754AB"/>
    <w:rsid w:val="00375A12"/>
    <w:rsid w:val="0037650A"/>
    <w:rsid w:val="00377A58"/>
    <w:rsid w:val="00383C19"/>
    <w:rsid w:val="00392D8C"/>
    <w:rsid w:val="00393897"/>
    <w:rsid w:val="0039411F"/>
    <w:rsid w:val="00397054"/>
    <w:rsid w:val="003A017D"/>
    <w:rsid w:val="003A0522"/>
    <w:rsid w:val="003A0BD3"/>
    <w:rsid w:val="003A29AC"/>
    <w:rsid w:val="003A34AA"/>
    <w:rsid w:val="003A3506"/>
    <w:rsid w:val="003A4D65"/>
    <w:rsid w:val="003A5FF4"/>
    <w:rsid w:val="003A78F3"/>
    <w:rsid w:val="003B52A8"/>
    <w:rsid w:val="003C0277"/>
    <w:rsid w:val="003C035D"/>
    <w:rsid w:val="003C0B8B"/>
    <w:rsid w:val="003C5D0E"/>
    <w:rsid w:val="003D0B47"/>
    <w:rsid w:val="003D0D42"/>
    <w:rsid w:val="003D188E"/>
    <w:rsid w:val="003D1B44"/>
    <w:rsid w:val="003D20E0"/>
    <w:rsid w:val="003D2831"/>
    <w:rsid w:val="003D3C93"/>
    <w:rsid w:val="003D40D4"/>
    <w:rsid w:val="003D4B55"/>
    <w:rsid w:val="003D56BB"/>
    <w:rsid w:val="003D6906"/>
    <w:rsid w:val="003D76FC"/>
    <w:rsid w:val="003E1940"/>
    <w:rsid w:val="003E2E17"/>
    <w:rsid w:val="003E6AB6"/>
    <w:rsid w:val="003F00B7"/>
    <w:rsid w:val="003F1AE4"/>
    <w:rsid w:val="003F2C2B"/>
    <w:rsid w:val="003F7D58"/>
    <w:rsid w:val="003F7E90"/>
    <w:rsid w:val="00400426"/>
    <w:rsid w:val="0040262A"/>
    <w:rsid w:val="00406CAF"/>
    <w:rsid w:val="00407AD2"/>
    <w:rsid w:val="0041188A"/>
    <w:rsid w:val="00411EBA"/>
    <w:rsid w:val="0041420F"/>
    <w:rsid w:val="00417332"/>
    <w:rsid w:val="00417575"/>
    <w:rsid w:val="00420D74"/>
    <w:rsid w:val="004316A2"/>
    <w:rsid w:val="004340D7"/>
    <w:rsid w:val="004423C8"/>
    <w:rsid w:val="00444BD3"/>
    <w:rsid w:val="004451EE"/>
    <w:rsid w:val="00445A3A"/>
    <w:rsid w:val="0044610D"/>
    <w:rsid w:val="004538A0"/>
    <w:rsid w:val="00455629"/>
    <w:rsid w:val="004564AE"/>
    <w:rsid w:val="004613E8"/>
    <w:rsid w:val="00464E8D"/>
    <w:rsid w:val="0047077A"/>
    <w:rsid w:val="004715D5"/>
    <w:rsid w:val="00472C71"/>
    <w:rsid w:val="004735B0"/>
    <w:rsid w:val="00473764"/>
    <w:rsid w:val="00474E7C"/>
    <w:rsid w:val="00477272"/>
    <w:rsid w:val="00480611"/>
    <w:rsid w:val="004813A5"/>
    <w:rsid w:val="0048188F"/>
    <w:rsid w:val="004860A7"/>
    <w:rsid w:val="0049266D"/>
    <w:rsid w:val="00492885"/>
    <w:rsid w:val="00492F8F"/>
    <w:rsid w:val="0049325C"/>
    <w:rsid w:val="00493EA6"/>
    <w:rsid w:val="004970C7"/>
    <w:rsid w:val="0049721A"/>
    <w:rsid w:val="004A0904"/>
    <w:rsid w:val="004A2D18"/>
    <w:rsid w:val="004A3109"/>
    <w:rsid w:val="004A3984"/>
    <w:rsid w:val="004A633B"/>
    <w:rsid w:val="004A63C4"/>
    <w:rsid w:val="004A72CA"/>
    <w:rsid w:val="004A7EBA"/>
    <w:rsid w:val="004B20CC"/>
    <w:rsid w:val="004B217F"/>
    <w:rsid w:val="004B3C2A"/>
    <w:rsid w:val="004B6DAF"/>
    <w:rsid w:val="004C2297"/>
    <w:rsid w:val="004C238B"/>
    <w:rsid w:val="004C43AC"/>
    <w:rsid w:val="004C44F5"/>
    <w:rsid w:val="004D1701"/>
    <w:rsid w:val="004D1B68"/>
    <w:rsid w:val="004D1C0A"/>
    <w:rsid w:val="004D4301"/>
    <w:rsid w:val="004D4DE6"/>
    <w:rsid w:val="004D59B0"/>
    <w:rsid w:val="004E012A"/>
    <w:rsid w:val="004E10BE"/>
    <w:rsid w:val="004E36B6"/>
    <w:rsid w:val="004E646A"/>
    <w:rsid w:val="004E6E6C"/>
    <w:rsid w:val="004F0285"/>
    <w:rsid w:val="004F1294"/>
    <w:rsid w:val="004F3210"/>
    <w:rsid w:val="004F4DD8"/>
    <w:rsid w:val="004F5B68"/>
    <w:rsid w:val="004F5C25"/>
    <w:rsid w:val="004F5D98"/>
    <w:rsid w:val="004F64CA"/>
    <w:rsid w:val="004F6D18"/>
    <w:rsid w:val="004F7B1F"/>
    <w:rsid w:val="005001CB"/>
    <w:rsid w:val="00500F5F"/>
    <w:rsid w:val="00503CFB"/>
    <w:rsid w:val="00505785"/>
    <w:rsid w:val="0050596F"/>
    <w:rsid w:val="0050644F"/>
    <w:rsid w:val="00507FEB"/>
    <w:rsid w:val="00511504"/>
    <w:rsid w:val="00511B0A"/>
    <w:rsid w:val="00512C52"/>
    <w:rsid w:val="00514F99"/>
    <w:rsid w:val="00515D6B"/>
    <w:rsid w:val="005169B3"/>
    <w:rsid w:val="0052033D"/>
    <w:rsid w:val="005215BC"/>
    <w:rsid w:val="0052175E"/>
    <w:rsid w:val="00521DE3"/>
    <w:rsid w:val="0052280A"/>
    <w:rsid w:val="00523617"/>
    <w:rsid w:val="00524E9A"/>
    <w:rsid w:val="00527F4D"/>
    <w:rsid w:val="005305C2"/>
    <w:rsid w:val="00533DB4"/>
    <w:rsid w:val="00533F03"/>
    <w:rsid w:val="00534747"/>
    <w:rsid w:val="00535555"/>
    <w:rsid w:val="00535B05"/>
    <w:rsid w:val="00536B37"/>
    <w:rsid w:val="00540685"/>
    <w:rsid w:val="00542239"/>
    <w:rsid w:val="005425C3"/>
    <w:rsid w:val="00543E22"/>
    <w:rsid w:val="005447AE"/>
    <w:rsid w:val="00547BDB"/>
    <w:rsid w:val="00550540"/>
    <w:rsid w:val="00555034"/>
    <w:rsid w:val="00563071"/>
    <w:rsid w:val="0057244C"/>
    <w:rsid w:val="005731A5"/>
    <w:rsid w:val="00575DD4"/>
    <w:rsid w:val="0057763E"/>
    <w:rsid w:val="005806E9"/>
    <w:rsid w:val="005822AE"/>
    <w:rsid w:val="005853D4"/>
    <w:rsid w:val="005917C8"/>
    <w:rsid w:val="0059199C"/>
    <w:rsid w:val="00592415"/>
    <w:rsid w:val="00592CA8"/>
    <w:rsid w:val="00593862"/>
    <w:rsid w:val="00594CF3"/>
    <w:rsid w:val="005A0C32"/>
    <w:rsid w:val="005A16D5"/>
    <w:rsid w:val="005A35E1"/>
    <w:rsid w:val="005A49A1"/>
    <w:rsid w:val="005A5088"/>
    <w:rsid w:val="005A7CD5"/>
    <w:rsid w:val="005B02CA"/>
    <w:rsid w:val="005B11D0"/>
    <w:rsid w:val="005B1F33"/>
    <w:rsid w:val="005B211E"/>
    <w:rsid w:val="005B36C8"/>
    <w:rsid w:val="005B3F99"/>
    <w:rsid w:val="005B7848"/>
    <w:rsid w:val="005B7F41"/>
    <w:rsid w:val="005C15B8"/>
    <w:rsid w:val="005C26D3"/>
    <w:rsid w:val="005C3EB6"/>
    <w:rsid w:val="005C470E"/>
    <w:rsid w:val="005C4ECD"/>
    <w:rsid w:val="005C5DFB"/>
    <w:rsid w:val="005C6083"/>
    <w:rsid w:val="005C7803"/>
    <w:rsid w:val="005D2D63"/>
    <w:rsid w:val="005D4040"/>
    <w:rsid w:val="005D4105"/>
    <w:rsid w:val="005D48D0"/>
    <w:rsid w:val="005D5CE2"/>
    <w:rsid w:val="005E0D04"/>
    <w:rsid w:val="005E3D92"/>
    <w:rsid w:val="005E4745"/>
    <w:rsid w:val="005F027B"/>
    <w:rsid w:val="005F0F53"/>
    <w:rsid w:val="005F44BA"/>
    <w:rsid w:val="005F50B4"/>
    <w:rsid w:val="005F69E2"/>
    <w:rsid w:val="005F73BB"/>
    <w:rsid w:val="006010D7"/>
    <w:rsid w:val="00605124"/>
    <w:rsid w:val="00606863"/>
    <w:rsid w:val="0060707D"/>
    <w:rsid w:val="006108CF"/>
    <w:rsid w:val="0061338C"/>
    <w:rsid w:val="00615098"/>
    <w:rsid w:val="00620AE1"/>
    <w:rsid w:val="006242CE"/>
    <w:rsid w:val="00626AAC"/>
    <w:rsid w:val="00626BF9"/>
    <w:rsid w:val="0063303C"/>
    <w:rsid w:val="006336D9"/>
    <w:rsid w:val="00634114"/>
    <w:rsid w:val="00634E4E"/>
    <w:rsid w:val="00635EEC"/>
    <w:rsid w:val="00636F0F"/>
    <w:rsid w:val="00637374"/>
    <w:rsid w:val="00640BD1"/>
    <w:rsid w:val="00642625"/>
    <w:rsid w:val="00642631"/>
    <w:rsid w:val="00643EED"/>
    <w:rsid w:val="00647196"/>
    <w:rsid w:val="0065296C"/>
    <w:rsid w:val="00653B1B"/>
    <w:rsid w:val="006570AF"/>
    <w:rsid w:val="00657C6A"/>
    <w:rsid w:val="0066424D"/>
    <w:rsid w:val="00664E31"/>
    <w:rsid w:val="00667B52"/>
    <w:rsid w:val="00672736"/>
    <w:rsid w:val="006727C3"/>
    <w:rsid w:val="006762C3"/>
    <w:rsid w:val="00677DB7"/>
    <w:rsid w:val="00680EFA"/>
    <w:rsid w:val="00682764"/>
    <w:rsid w:val="00686431"/>
    <w:rsid w:val="006879A8"/>
    <w:rsid w:val="006911D1"/>
    <w:rsid w:val="00692BB0"/>
    <w:rsid w:val="006934E0"/>
    <w:rsid w:val="006950E4"/>
    <w:rsid w:val="00697C6F"/>
    <w:rsid w:val="00697EC0"/>
    <w:rsid w:val="006A02B2"/>
    <w:rsid w:val="006A2697"/>
    <w:rsid w:val="006A47A2"/>
    <w:rsid w:val="006A6F00"/>
    <w:rsid w:val="006A705F"/>
    <w:rsid w:val="006A725F"/>
    <w:rsid w:val="006B0126"/>
    <w:rsid w:val="006B082F"/>
    <w:rsid w:val="006B085E"/>
    <w:rsid w:val="006B144E"/>
    <w:rsid w:val="006B2E3F"/>
    <w:rsid w:val="006B5E75"/>
    <w:rsid w:val="006B73C5"/>
    <w:rsid w:val="006B7B9A"/>
    <w:rsid w:val="006C03A1"/>
    <w:rsid w:val="006C5317"/>
    <w:rsid w:val="006D1CCC"/>
    <w:rsid w:val="006D39F1"/>
    <w:rsid w:val="006D594F"/>
    <w:rsid w:val="006D68CD"/>
    <w:rsid w:val="006D7B63"/>
    <w:rsid w:val="006E1D64"/>
    <w:rsid w:val="006E1F33"/>
    <w:rsid w:val="006E2077"/>
    <w:rsid w:val="006E31D8"/>
    <w:rsid w:val="006E5A8B"/>
    <w:rsid w:val="006E72C1"/>
    <w:rsid w:val="006E7DA6"/>
    <w:rsid w:val="006F05AD"/>
    <w:rsid w:val="006F1D19"/>
    <w:rsid w:val="006F5EC1"/>
    <w:rsid w:val="006F64B6"/>
    <w:rsid w:val="0070248C"/>
    <w:rsid w:val="00704B4D"/>
    <w:rsid w:val="007119F8"/>
    <w:rsid w:val="00714CD2"/>
    <w:rsid w:val="00715415"/>
    <w:rsid w:val="007156B6"/>
    <w:rsid w:val="00715F9E"/>
    <w:rsid w:val="007168ED"/>
    <w:rsid w:val="007207E7"/>
    <w:rsid w:val="00720EF0"/>
    <w:rsid w:val="00722AB7"/>
    <w:rsid w:val="00722DE8"/>
    <w:rsid w:val="00723E6F"/>
    <w:rsid w:val="007256E6"/>
    <w:rsid w:val="007259AF"/>
    <w:rsid w:val="00726C31"/>
    <w:rsid w:val="00727BA0"/>
    <w:rsid w:val="0073106B"/>
    <w:rsid w:val="00734429"/>
    <w:rsid w:val="007365A4"/>
    <w:rsid w:val="00740233"/>
    <w:rsid w:val="00742087"/>
    <w:rsid w:val="0074214A"/>
    <w:rsid w:val="00742D89"/>
    <w:rsid w:val="00743844"/>
    <w:rsid w:val="00746010"/>
    <w:rsid w:val="0075171D"/>
    <w:rsid w:val="00754548"/>
    <w:rsid w:val="00755519"/>
    <w:rsid w:val="00757609"/>
    <w:rsid w:val="0075784F"/>
    <w:rsid w:val="0076058E"/>
    <w:rsid w:val="007611CD"/>
    <w:rsid w:val="00761A1B"/>
    <w:rsid w:val="00762D61"/>
    <w:rsid w:val="00764B7E"/>
    <w:rsid w:val="00765175"/>
    <w:rsid w:val="00765FB5"/>
    <w:rsid w:val="007666C2"/>
    <w:rsid w:val="00766C21"/>
    <w:rsid w:val="007707CD"/>
    <w:rsid w:val="00770F7F"/>
    <w:rsid w:val="0077367B"/>
    <w:rsid w:val="007741F1"/>
    <w:rsid w:val="00774B3A"/>
    <w:rsid w:val="00777953"/>
    <w:rsid w:val="007806EF"/>
    <w:rsid w:val="0078340C"/>
    <w:rsid w:val="007834FD"/>
    <w:rsid w:val="00784B79"/>
    <w:rsid w:val="00787AC9"/>
    <w:rsid w:val="0079011D"/>
    <w:rsid w:val="0079168C"/>
    <w:rsid w:val="0079387D"/>
    <w:rsid w:val="007959AA"/>
    <w:rsid w:val="007969EA"/>
    <w:rsid w:val="007973E6"/>
    <w:rsid w:val="00797EBC"/>
    <w:rsid w:val="007A04B7"/>
    <w:rsid w:val="007A07DE"/>
    <w:rsid w:val="007A13BA"/>
    <w:rsid w:val="007A33C7"/>
    <w:rsid w:val="007A4EA4"/>
    <w:rsid w:val="007A684B"/>
    <w:rsid w:val="007A69F8"/>
    <w:rsid w:val="007B0D40"/>
    <w:rsid w:val="007B0F38"/>
    <w:rsid w:val="007B0F60"/>
    <w:rsid w:val="007B55BC"/>
    <w:rsid w:val="007C01E6"/>
    <w:rsid w:val="007C0EC7"/>
    <w:rsid w:val="007C209B"/>
    <w:rsid w:val="007C63F9"/>
    <w:rsid w:val="007C69DF"/>
    <w:rsid w:val="007D0721"/>
    <w:rsid w:val="007D1068"/>
    <w:rsid w:val="007D2227"/>
    <w:rsid w:val="007D40AC"/>
    <w:rsid w:val="007D46BE"/>
    <w:rsid w:val="007D66FF"/>
    <w:rsid w:val="007E0AFB"/>
    <w:rsid w:val="007E1258"/>
    <w:rsid w:val="007E47AC"/>
    <w:rsid w:val="007E547D"/>
    <w:rsid w:val="007F1A78"/>
    <w:rsid w:val="007F2367"/>
    <w:rsid w:val="007F25CD"/>
    <w:rsid w:val="007F462D"/>
    <w:rsid w:val="007F528A"/>
    <w:rsid w:val="007F790A"/>
    <w:rsid w:val="008001FE"/>
    <w:rsid w:val="008008AE"/>
    <w:rsid w:val="0080362E"/>
    <w:rsid w:val="00803986"/>
    <w:rsid w:val="0080442A"/>
    <w:rsid w:val="0080580F"/>
    <w:rsid w:val="00805B29"/>
    <w:rsid w:val="00806016"/>
    <w:rsid w:val="00810A61"/>
    <w:rsid w:val="00812B8F"/>
    <w:rsid w:val="00812EAC"/>
    <w:rsid w:val="008145C5"/>
    <w:rsid w:val="0081467D"/>
    <w:rsid w:val="00814E50"/>
    <w:rsid w:val="00815026"/>
    <w:rsid w:val="00817C60"/>
    <w:rsid w:val="008224FB"/>
    <w:rsid w:val="008225F2"/>
    <w:rsid w:val="008270C8"/>
    <w:rsid w:val="008310C7"/>
    <w:rsid w:val="00834DD4"/>
    <w:rsid w:val="00835843"/>
    <w:rsid w:val="00835D26"/>
    <w:rsid w:val="00837A95"/>
    <w:rsid w:val="00841246"/>
    <w:rsid w:val="00841E68"/>
    <w:rsid w:val="00843834"/>
    <w:rsid w:val="00845228"/>
    <w:rsid w:val="00845511"/>
    <w:rsid w:val="00846002"/>
    <w:rsid w:val="0084643B"/>
    <w:rsid w:val="008500E8"/>
    <w:rsid w:val="008517A4"/>
    <w:rsid w:val="0085214F"/>
    <w:rsid w:val="00854609"/>
    <w:rsid w:val="00854CB5"/>
    <w:rsid w:val="00855784"/>
    <w:rsid w:val="00855933"/>
    <w:rsid w:val="00856711"/>
    <w:rsid w:val="00857B9A"/>
    <w:rsid w:val="00857E44"/>
    <w:rsid w:val="00862808"/>
    <w:rsid w:val="00867A93"/>
    <w:rsid w:val="00872911"/>
    <w:rsid w:val="00872A9F"/>
    <w:rsid w:val="0087344E"/>
    <w:rsid w:val="008756FB"/>
    <w:rsid w:val="00876748"/>
    <w:rsid w:val="00880488"/>
    <w:rsid w:val="00880D4A"/>
    <w:rsid w:val="00881690"/>
    <w:rsid w:val="00891854"/>
    <w:rsid w:val="00891ADD"/>
    <w:rsid w:val="0089469C"/>
    <w:rsid w:val="0089474E"/>
    <w:rsid w:val="00895BEB"/>
    <w:rsid w:val="00896918"/>
    <w:rsid w:val="008A4131"/>
    <w:rsid w:val="008A44DE"/>
    <w:rsid w:val="008A6137"/>
    <w:rsid w:val="008A7347"/>
    <w:rsid w:val="008A7408"/>
    <w:rsid w:val="008B0012"/>
    <w:rsid w:val="008B0D76"/>
    <w:rsid w:val="008B4FBE"/>
    <w:rsid w:val="008B59BD"/>
    <w:rsid w:val="008B677D"/>
    <w:rsid w:val="008B6BC1"/>
    <w:rsid w:val="008C1C8E"/>
    <w:rsid w:val="008C2558"/>
    <w:rsid w:val="008C282D"/>
    <w:rsid w:val="008C5525"/>
    <w:rsid w:val="008C75B3"/>
    <w:rsid w:val="008D0788"/>
    <w:rsid w:val="008D1873"/>
    <w:rsid w:val="008D30EF"/>
    <w:rsid w:val="008D4CCD"/>
    <w:rsid w:val="008D4DC3"/>
    <w:rsid w:val="008D5B1B"/>
    <w:rsid w:val="008E0500"/>
    <w:rsid w:val="008E2E8A"/>
    <w:rsid w:val="008E4077"/>
    <w:rsid w:val="008E4129"/>
    <w:rsid w:val="008E453F"/>
    <w:rsid w:val="008E7EEB"/>
    <w:rsid w:val="008F0229"/>
    <w:rsid w:val="008F1D0A"/>
    <w:rsid w:val="008F2382"/>
    <w:rsid w:val="008F3727"/>
    <w:rsid w:val="008F3B8B"/>
    <w:rsid w:val="008F3CBD"/>
    <w:rsid w:val="008F627C"/>
    <w:rsid w:val="008F6BD6"/>
    <w:rsid w:val="008F74FA"/>
    <w:rsid w:val="008F7871"/>
    <w:rsid w:val="00900D3E"/>
    <w:rsid w:val="00901DD6"/>
    <w:rsid w:val="00905D38"/>
    <w:rsid w:val="00905DF2"/>
    <w:rsid w:val="00907429"/>
    <w:rsid w:val="00913B84"/>
    <w:rsid w:val="00915E02"/>
    <w:rsid w:val="00917E47"/>
    <w:rsid w:val="00922DDE"/>
    <w:rsid w:val="00922E8C"/>
    <w:rsid w:val="00924AF4"/>
    <w:rsid w:val="009371C2"/>
    <w:rsid w:val="00940418"/>
    <w:rsid w:val="0094069C"/>
    <w:rsid w:val="00944245"/>
    <w:rsid w:val="00944B9D"/>
    <w:rsid w:val="00945014"/>
    <w:rsid w:val="00945592"/>
    <w:rsid w:val="009456E4"/>
    <w:rsid w:val="00945951"/>
    <w:rsid w:val="00945D79"/>
    <w:rsid w:val="00946878"/>
    <w:rsid w:val="0094765E"/>
    <w:rsid w:val="00950137"/>
    <w:rsid w:val="0095680F"/>
    <w:rsid w:val="009613DF"/>
    <w:rsid w:val="00962464"/>
    <w:rsid w:val="00962D2C"/>
    <w:rsid w:val="00962D8E"/>
    <w:rsid w:val="009639FD"/>
    <w:rsid w:val="009670FF"/>
    <w:rsid w:val="00970143"/>
    <w:rsid w:val="00970CBA"/>
    <w:rsid w:val="009719C6"/>
    <w:rsid w:val="00976BFF"/>
    <w:rsid w:val="00981752"/>
    <w:rsid w:val="00981F5D"/>
    <w:rsid w:val="00984AE8"/>
    <w:rsid w:val="009859CA"/>
    <w:rsid w:val="00985A03"/>
    <w:rsid w:val="00987844"/>
    <w:rsid w:val="0099059B"/>
    <w:rsid w:val="00992322"/>
    <w:rsid w:val="00993895"/>
    <w:rsid w:val="00994FFB"/>
    <w:rsid w:val="00995EDE"/>
    <w:rsid w:val="00996708"/>
    <w:rsid w:val="00997619"/>
    <w:rsid w:val="009A1AA0"/>
    <w:rsid w:val="009A2A0F"/>
    <w:rsid w:val="009A4698"/>
    <w:rsid w:val="009A579A"/>
    <w:rsid w:val="009A5BE1"/>
    <w:rsid w:val="009A7BDB"/>
    <w:rsid w:val="009B119B"/>
    <w:rsid w:val="009B12E4"/>
    <w:rsid w:val="009B480D"/>
    <w:rsid w:val="009B6376"/>
    <w:rsid w:val="009C023E"/>
    <w:rsid w:val="009C03D2"/>
    <w:rsid w:val="009C0731"/>
    <w:rsid w:val="009C1088"/>
    <w:rsid w:val="009C40E4"/>
    <w:rsid w:val="009C73C8"/>
    <w:rsid w:val="009D0BCB"/>
    <w:rsid w:val="009D0BF9"/>
    <w:rsid w:val="009D0E1D"/>
    <w:rsid w:val="009D1C96"/>
    <w:rsid w:val="009D3279"/>
    <w:rsid w:val="009D3F11"/>
    <w:rsid w:val="009D4800"/>
    <w:rsid w:val="009E0728"/>
    <w:rsid w:val="009E1E2E"/>
    <w:rsid w:val="009E2F2B"/>
    <w:rsid w:val="009E31BA"/>
    <w:rsid w:val="009E54B9"/>
    <w:rsid w:val="009E5548"/>
    <w:rsid w:val="009E60B6"/>
    <w:rsid w:val="009F24D6"/>
    <w:rsid w:val="009F332A"/>
    <w:rsid w:val="009F399C"/>
    <w:rsid w:val="009F3E77"/>
    <w:rsid w:val="009F54E4"/>
    <w:rsid w:val="009F6A2D"/>
    <w:rsid w:val="009F72AB"/>
    <w:rsid w:val="009F7749"/>
    <w:rsid w:val="00A06D34"/>
    <w:rsid w:val="00A07FE2"/>
    <w:rsid w:val="00A13245"/>
    <w:rsid w:val="00A17E33"/>
    <w:rsid w:val="00A21EB3"/>
    <w:rsid w:val="00A2225B"/>
    <w:rsid w:val="00A2348E"/>
    <w:rsid w:val="00A23A12"/>
    <w:rsid w:val="00A24295"/>
    <w:rsid w:val="00A24F10"/>
    <w:rsid w:val="00A27027"/>
    <w:rsid w:val="00A31479"/>
    <w:rsid w:val="00A328F8"/>
    <w:rsid w:val="00A32BA3"/>
    <w:rsid w:val="00A34181"/>
    <w:rsid w:val="00A34CAD"/>
    <w:rsid w:val="00A363C1"/>
    <w:rsid w:val="00A3672C"/>
    <w:rsid w:val="00A4332E"/>
    <w:rsid w:val="00A43F7C"/>
    <w:rsid w:val="00A455A3"/>
    <w:rsid w:val="00A47890"/>
    <w:rsid w:val="00A47D6B"/>
    <w:rsid w:val="00A530CA"/>
    <w:rsid w:val="00A53B5D"/>
    <w:rsid w:val="00A542DF"/>
    <w:rsid w:val="00A565AF"/>
    <w:rsid w:val="00A60A08"/>
    <w:rsid w:val="00A626A5"/>
    <w:rsid w:val="00A6339E"/>
    <w:rsid w:val="00A65958"/>
    <w:rsid w:val="00A66BE2"/>
    <w:rsid w:val="00A7348E"/>
    <w:rsid w:val="00A80A99"/>
    <w:rsid w:val="00A8104D"/>
    <w:rsid w:val="00A83F72"/>
    <w:rsid w:val="00A84943"/>
    <w:rsid w:val="00A84EA3"/>
    <w:rsid w:val="00A85A3B"/>
    <w:rsid w:val="00A905AC"/>
    <w:rsid w:val="00A9128A"/>
    <w:rsid w:val="00A91B09"/>
    <w:rsid w:val="00A92242"/>
    <w:rsid w:val="00A9346D"/>
    <w:rsid w:val="00A93738"/>
    <w:rsid w:val="00A94696"/>
    <w:rsid w:val="00AA0819"/>
    <w:rsid w:val="00AA309A"/>
    <w:rsid w:val="00AA3182"/>
    <w:rsid w:val="00AA3832"/>
    <w:rsid w:val="00AA50D1"/>
    <w:rsid w:val="00AA5B5B"/>
    <w:rsid w:val="00AB1DBE"/>
    <w:rsid w:val="00AB309D"/>
    <w:rsid w:val="00AB4983"/>
    <w:rsid w:val="00AB4D6C"/>
    <w:rsid w:val="00AB5231"/>
    <w:rsid w:val="00AB6688"/>
    <w:rsid w:val="00AB6AAF"/>
    <w:rsid w:val="00AC2498"/>
    <w:rsid w:val="00AC3FD3"/>
    <w:rsid w:val="00AC5BC1"/>
    <w:rsid w:val="00AC6F43"/>
    <w:rsid w:val="00AC7724"/>
    <w:rsid w:val="00AE0EC2"/>
    <w:rsid w:val="00AE2BBC"/>
    <w:rsid w:val="00AE37AB"/>
    <w:rsid w:val="00AE39CB"/>
    <w:rsid w:val="00AE4C76"/>
    <w:rsid w:val="00AE7BFC"/>
    <w:rsid w:val="00AE7CD0"/>
    <w:rsid w:val="00AF2920"/>
    <w:rsid w:val="00AF51E4"/>
    <w:rsid w:val="00AF62B7"/>
    <w:rsid w:val="00AF635D"/>
    <w:rsid w:val="00AF6F11"/>
    <w:rsid w:val="00AF763A"/>
    <w:rsid w:val="00B00621"/>
    <w:rsid w:val="00B011B5"/>
    <w:rsid w:val="00B04255"/>
    <w:rsid w:val="00B061E0"/>
    <w:rsid w:val="00B134AD"/>
    <w:rsid w:val="00B14EF7"/>
    <w:rsid w:val="00B176B6"/>
    <w:rsid w:val="00B206A4"/>
    <w:rsid w:val="00B22503"/>
    <w:rsid w:val="00B22BD8"/>
    <w:rsid w:val="00B25034"/>
    <w:rsid w:val="00B25B62"/>
    <w:rsid w:val="00B26514"/>
    <w:rsid w:val="00B277FA"/>
    <w:rsid w:val="00B30A44"/>
    <w:rsid w:val="00B33DB6"/>
    <w:rsid w:val="00B34523"/>
    <w:rsid w:val="00B36269"/>
    <w:rsid w:val="00B435A0"/>
    <w:rsid w:val="00B51DE7"/>
    <w:rsid w:val="00B52198"/>
    <w:rsid w:val="00B558F3"/>
    <w:rsid w:val="00B56493"/>
    <w:rsid w:val="00B5650D"/>
    <w:rsid w:val="00B576F1"/>
    <w:rsid w:val="00B610CA"/>
    <w:rsid w:val="00B6112D"/>
    <w:rsid w:val="00B6195E"/>
    <w:rsid w:val="00B61CEA"/>
    <w:rsid w:val="00B62635"/>
    <w:rsid w:val="00B643F7"/>
    <w:rsid w:val="00B64427"/>
    <w:rsid w:val="00B64608"/>
    <w:rsid w:val="00B65F5B"/>
    <w:rsid w:val="00B6613E"/>
    <w:rsid w:val="00B66656"/>
    <w:rsid w:val="00B70C3B"/>
    <w:rsid w:val="00B71130"/>
    <w:rsid w:val="00B71308"/>
    <w:rsid w:val="00B733D3"/>
    <w:rsid w:val="00B73E4E"/>
    <w:rsid w:val="00B74139"/>
    <w:rsid w:val="00B76525"/>
    <w:rsid w:val="00B77F90"/>
    <w:rsid w:val="00B842AA"/>
    <w:rsid w:val="00B84CCF"/>
    <w:rsid w:val="00B86772"/>
    <w:rsid w:val="00B8785C"/>
    <w:rsid w:val="00B87C53"/>
    <w:rsid w:val="00B915F8"/>
    <w:rsid w:val="00B91D76"/>
    <w:rsid w:val="00B91F09"/>
    <w:rsid w:val="00B93C6C"/>
    <w:rsid w:val="00B94FD7"/>
    <w:rsid w:val="00B9666C"/>
    <w:rsid w:val="00B97E95"/>
    <w:rsid w:val="00BA02EA"/>
    <w:rsid w:val="00BA1CBC"/>
    <w:rsid w:val="00BA528D"/>
    <w:rsid w:val="00BA594A"/>
    <w:rsid w:val="00BA5D6E"/>
    <w:rsid w:val="00BA68CD"/>
    <w:rsid w:val="00BA79B6"/>
    <w:rsid w:val="00BB0DCC"/>
    <w:rsid w:val="00BB351D"/>
    <w:rsid w:val="00BB4537"/>
    <w:rsid w:val="00BB5189"/>
    <w:rsid w:val="00BB5CBF"/>
    <w:rsid w:val="00BB76CE"/>
    <w:rsid w:val="00BB7801"/>
    <w:rsid w:val="00BB7CFA"/>
    <w:rsid w:val="00BB7FE7"/>
    <w:rsid w:val="00BC6B2C"/>
    <w:rsid w:val="00BD1838"/>
    <w:rsid w:val="00BD25A2"/>
    <w:rsid w:val="00BD2896"/>
    <w:rsid w:val="00BD2DB1"/>
    <w:rsid w:val="00BD2E39"/>
    <w:rsid w:val="00BD5C9C"/>
    <w:rsid w:val="00BD74D7"/>
    <w:rsid w:val="00BE2B6C"/>
    <w:rsid w:val="00BE393A"/>
    <w:rsid w:val="00BE6840"/>
    <w:rsid w:val="00BE6EDC"/>
    <w:rsid w:val="00BE7093"/>
    <w:rsid w:val="00BE7D50"/>
    <w:rsid w:val="00BF1639"/>
    <w:rsid w:val="00BF4AF2"/>
    <w:rsid w:val="00BF589A"/>
    <w:rsid w:val="00BF665C"/>
    <w:rsid w:val="00C03D88"/>
    <w:rsid w:val="00C065EF"/>
    <w:rsid w:val="00C07B10"/>
    <w:rsid w:val="00C11212"/>
    <w:rsid w:val="00C11F5C"/>
    <w:rsid w:val="00C120F3"/>
    <w:rsid w:val="00C1393A"/>
    <w:rsid w:val="00C15DC7"/>
    <w:rsid w:val="00C17935"/>
    <w:rsid w:val="00C20647"/>
    <w:rsid w:val="00C21A63"/>
    <w:rsid w:val="00C2292E"/>
    <w:rsid w:val="00C27ED3"/>
    <w:rsid w:val="00C30372"/>
    <w:rsid w:val="00C30B17"/>
    <w:rsid w:val="00C32071"/>
    <w:rsid w:val="00C334C4"/>
    <w:rsid w:val="00C3453F"/>
    <w:rsid w:val="00C35E27"/>
    <w:rsid w:val="00C37C85"/>
    <w:rsid w:val="00C416B8"/>
    <w:rsid w:val="00C43B49"/>
    <w:rsid w:val="00C44439"/>
    <w:rsid w:val="00C4491A"/>
    <w:rsid w:val="00C44AED"/>
    <w:rsid w:val="00C44B45"/>
    <w:rsid w:val="00C454EF"/>
    <w:rsid w:val="00C50270"/>
    <w:rsid w:val="00C56546"/>
    <w:rsid w:val="00C576B3"/>
    <w:rsid w:val="00C61A30"/>
    <w:rsid w:val="00C6713B"/>
    <w:rsid w:val="00C706F1"/>
    <w:rsid w:val="00C718B2"/>
    <w:rsid w:val="00C727F5"/>
    <w:rsid w:val="00C7297A"/>
    <w:rsid w:val="00C72E2C"/>
    <w:rsid w:val="00C732A8"/>
    <w:rsid w:val="00C7435C"/>
    <w:rsid w:val="00C77F42"/>
    <w:rsid w:val="00C80490"/>
    <w:rsid w:val="00C80F19"/>
    <w:rsid w:val="00C82190"/>
    <w:rsid w:val="00C8340A"/>
    <w:rsid w:val="00C84EB4"/>
    <w:rsid w:val="00C851F9"/>
    <w:rsid w:val="00C87A7A"/>
    <w:rsid w:val="00C9069F"/>
    <w:rsid w:val="00C95502"/>
    <w:rsid w:val="00C957B6"/>
    <w:rsid w:val="00C95FA2"/>
    <w:rsid w:val="00C963CF"/>
    <w:rsid w:val="00C9675A"/>
    <w:rsid w:val="00C9731F"/>
    <w:rsid w:val="00C9737C"/>
    <w:rsid w:val="00CA0D1A"/>
    <w:rsid w:val="00CA1823"/>
    <w:rsid w:val="00CA3DA6"/>
    <w:rsid w:val="00CA47EE"/>
    <w:rsid w:val="00CA4A37"/>
    <w:rsid w:val="00CA4D68"/>
    <w:rsid w:val="00CA7191"/>
    <w:rsid w:val="00CB138C"/>
    <w:rsid w:val="00CB1707"/>
    <w:rsid w:val="00CB2095"/>
    <w:rsid w:val="00CB2291"/>
    <w:rsid w:val="00CB37F3"/>
    <w:rsid w:val="00CB3CC3"/>
    <w:rsid w:val="00CB420D"/>
    <w:rsid w:val="00CB584B"/>
    <w:rsid w:val="00CC08BE"/>
    <w:rsid w:val="00CC180F"/>
    <w:rsid w:val="00CC1CAF"/>
    <w:rsid w:val="00CC1CF3"/>
    <w:rsid w:val="00CC4895"/>
    <w:rsid w:val="00CC5493"/>
    <w:rsid w:val="00CC5F6F"/>
    <w:rsid w:val="00CC784A"/>
    <w:rsid w:val="00CD05D6"/>
    <w:rsid w:val="00CD3BC2"/>
    <w:rsid w:val="00CD477E"/>
    <w:rsid w:val="00CD5ABD"/>
    <w:rsid w:val="00CD5B87"/>
    <w:rsid w:val="00CD5C92"/>
    <w:rsid w:val="00CD765B"/>
    <w:rsid w:val="00CD7A7B"/>
    <w:rsid w:val="00CE21EC"/>
    <w:rsid w:val="00CE2FA9"/>
    <w:rsid w:val="00CE4AD9"/>
    <w:rsid w:val="00CF0BF5"/>
    <w:rsid w:val="00CF1E38"/>
    <w:rsid w:val="00CF227A"/>
    <w:rsid w:val="00CF2AF2"/>
    <w:rsid w:val="00CF31CC"/>
    <w:rsid w:val="00CF5386"/>
    <w:rsid w:val="00CF75C7"/>
    <w:rsid w:val="00D012A9"/>
    <w:rsid w:val="00D02591"/>
    <w:rsid w:val="00D0402A"/>
    <w:rsid w:val="00D04194"/>
    <w:rsid w:val="00D04362"/>
    <w:rsid w:val="00D04519"/>
    <w:rsid w:val="00D06D54"/>
    <w:rsid w:val="00D07830"/>
    <w:rsid w:val="00D10C51"/>
    <w:rsid w:val="00D14BF2"/>
    <w:rsid w:val="00D1507B"/>
    <w:rsid w:val="00D15405"/>
    <w:rsid w:val="00D164A5"/>
    <w:rsid w:val="00D17105"/>
    <w:rsid w:val="00D215FA"/>
    <w:rsid w:val="00D23587"/>
    <w:rsid w:val="00D25468"/>
    <w:rsid w:val="00D25C98"/>
    <w:rsid w:val="00D26ECF"/>
    <w:rsid w:val="00D27274"/>
    <w:rsid w:val="00D27BF8"/>
    <w:rsid w:val="00D27FBD"/>
    <w:rsid w:val="00D321D4"/>
    <w:rsid w:val="00D336EB"/>
    <w:rsid w:val="00D33B42"/>
    <w:rsid w:val="00D340BD"/>
    <w:rsid w:val="00D3413A"/>
    <w:rsid w:val="00D40238"/>
    <w:rsid w:val="00D44A3C"/>
    <w:rsid w:val="00D502D6"/>
    <w:rsid w:val="00D54490"/>
    <w:rsid w:val="00D5637E"/>
    <w:rsid w:val="00D570D4"/>
    <w:rsid w:val="00D57862"/>
    <w:rsid w:val="00D601A3"/>
    <w:rsid w:val="00D60A37"/>
    <w:rsid w:val="00D627D3"/>
    <w:rsid w:val="00D62A83"/>
    <w:rsid w:val="00D6386A"/>
    <w:rsid w:val="00D6489E"/>
    <w:rsid w:val="00D64D48"/>
    <w:rsid w:val="00D64FCE"/>
    <w:rsid w:val="00D65754"/>
    <w:rsid w:val="00D67ABC"/>
    <w:rsid w:val="00D7035E"/>
    <w:rsid w:val="00D713C0"/>
    <w:rsid w:val="00D75277"/>
    <w:rsid w:val="00D777BA"/>
    <w:rsid w:val="00D806FA"/>
    <w:rsid w:val="00D81AA8"/>
    <w:rsid w:val="00D82EF0"/>
    <w:rsid w:val="00D8325B"/>
    <w:rsid w:val="00D852DB"/>
    <w:rsid w:val="00D856F6"/>
    <w:rsid w:val="00D864F8"/>
    <w:rsid w:val="00D87441"/>
    <w:rsid w:val="00D9009A"/>
    <w:rsid w:val="00D91D77"/>
    <w:rsid w:val="00D9267B"/>
    <w:rsid w:val="00D938B3"/>
    <w:rsid w:val="00D93923"/>
    <w:rsid w:val="00D96583"/>
    <w:rsid w:val="00D975DE"/>
    <w:rsid w:val="00D97DDB"/>
    <w:rsid w:val="00DA27CE"/>
    <w:rsid w:val="00DA3E7B"/>
    <w:rsid w:val="00DA522E"/>
    <w:rsid w:val="00DB04F9"/>
    <w:rsid w:val="00DB1739"/>
    <w:rsid w:val="00DB1B53"/>
    <w:rsid w:val="00DB2559"/>
    <w:rsid w:val="00DB7D77"/>
    <w:rsid w:val="00DC0948"/>
    <w:rsid w:val="00DC1C5D"/>
    <w:rsid w:val="00DC3714"/>
    <w:rsid w:val="00DD08AA"/>
    <w:rsid w:val="00DD10AE"/>
    <w:rsid w:val="00DD1998"/>
    <w:rsid w:val="00DD2CCF"/>
    <w:rsid w:val="00DD43F0"/>
    <w:rsid w:val="00DD6A21"/>
    <w:rsid w:val="00DD6AAE"/>
    <w:rsid w:val="00DE520C"/>
    <w:rsid w:val="00DE599B"/>
    <w:rsid w:val="00DE5B81"/>
    <w:rsid w:val="00DE5FBD"/>
    <w:rsid w:val="00DE778C"/>
    <w:rsid w:val="00DF4A07"/>
    <w:rsid w:val="00DF55E5"/>
    <w:rsid w:val="00E010E8"/>
    <w:rsid w:val="00E01F45"/>
    <w:rsid w:val="00E02EC3"/>
    <w:rsid w:val="00E039CC"/>
    <w:rsid w:val="00E049BB"/>
    <w:rsid w:val="00E11E16"/>
    <w:rsid w:val="00E14C67"/>
    <w:rsid w:val="00E1558B"/>
    <w:rsid w:val="00E173B1"/>
    <w:rsid w:val="00E176D9"/>
    <w:rsid w:val="00E17C60"/>
    <w:rsid w:val="00E20B7B"/>
    <w:rsid w:val="00E22A9E"/>
    <w:rsid w:val="00E254EA"/>
    <w:rsid w:val="00E25F9B"/>
    <w:rsid w:val="00E27002"/>
    <w:rsid w:val="00E318EE"/>
    <w:rsid w:val="00E32DED"/>
    <w:rsid w:val="00E3371C"/>
    <w:rsid w:val="00E4022D"/>
    <w:rsid w:val="00E42978"/>
    <w:rsid w:val="00E43B53"/>
    <w:rsid w:val="00E45549"/>
    <w:rsid w:val="00E46571"/>
    <w:rsid w:val="00E47FE4"/>
    <w:rsid w:val="00E50755"/>
    <w:rsid w:val="00E50CDC"/>
    <w:rsid w:val="00E55071"/>
    <w:rsid w:val="00E5601E"/>
    <w:rsid w:val="00E56507"/>
    <w:rsid w:val="00E57421"/>
    <w:rsid w:val="00E644AA"/>
    <w:rsid w:val="00E66558"/>
    <w:rsid w:val="00E701EF"/>
    <w:rsid w:val="00E71010"/>
    <w:rsid w:val="00E74038"/>
    <w:rsid w:val="00E75033"/>
    <w:rsid w:val="00E773FA"/>
    <w:rsid w:val="00E821AB"/>
    <w:rsid w:val="00E839AA"/>
    <w:rsid w:val="00E839F0"/>
    <w:rsid w:val="00E840A3"/>
    <w:rsid w:val="00E842EF"/>
    <w:rsid w:val="00E85FFF"/>
    <w:rsid w:val="00E8727D"/>
    <w:rsid w:val="00E87CFF"/>
    <w:rsid w:val="00E90126"/>
    <w:rsid w:val="00E91277"/>
    <w:rsid w:val="00E945F7"/>
    <w:rsid w:val="00E94B6E"/>
    <w:rsid w:val="00E95597"/>
    <w:rsid w:val="00E96D28"/>
    <w:rsid w:val="00EA1456"/>
    <w:rsid w:val="00EA1833"/>
    <w:rsid w:val="00EA30C1"/>
    <w:rsid w:val="00EB09A9"/>
    <w:rsid w:val="00EB4963"/>
    <w:rsid w:val="00EB4BA9"/>
    <w:rsid w:val="00EB5B57"/>
    <w:rsid w:val="00EB5EEC"/>
    <w:rsid w:val="00EB6380"/>
    <w:rsid w:val="00EC0CAE"/>
    <w:rsid w:val="00EC0D98"/>
    <w:rsid w:val="00EC1B3D"/>
    <w:rsid w:val="00EC3298"/>
    <w:rsid w:val="00EC6D1E"/>
    <w:rsid w:val="00EC6EAF"/>
    <w:rsid w:val="00ED2159"/>
    <w:rsid w:val="00ED35FE"/>
    <w:rsid w:val="00ED3AC0"/>
    <w:rsid w:val="00EE2862"/>
    <w:rsid w:val="00EE2AE6"/>
    <w:rsid w:val="00EE34A8"/>
    <w:rsid w:val="00EE3E93"/>
    <w:rsid w:val="00EE44E8"/>
    <w:rsid w:val="00EE4B91"/>
    <w:rsid w:val="00EE7132"/>
    <w:rsid w:val="00EF10F6"/>
    <w:rsid w:val="00EF14B9"/>
    <w:rsid w:val="00EF2D7D"/>
    <w:rsid w:val="00EF74AA"/>
    <w:rsid w:val="00F0397D"/>
    <w:rsid w:val="00F0719E"/>
    <w:rsid w:val="00F07E39"/>
    <w:rsid w:val="00F102CC"/>
    <w:rsid w:val="00F10658"/>
    <w:rsid w:val="00F106EF"/>
    <w:rsid w:val="00F10F1C"/>
    <w:rsid w:val="00F11079"/>
    <w:rsid w:val="00F1344F"/>
    <w:rsid w:val="00F158FB"/>
    <w:rsid w:val="00F15B11"/>
    <w:rsid w:val="00F15CC3"/>
    <w:rsid w:val="00F16EA0"/>
    <w:rsid w:val="00F171FA"/>
    <w:rsid w:val="00F1769B"/>
    <w:rsid w:val="00F20A0D"/>
    <w:rsid w:val="00F25AE1"/>
    <w:rsid w:val="00F25B1C"/>
    <w:rsid w:val="00F261B5"/>
    <w:rsid w:val="00F268E5"/>
    <w:rsid w:val="00F270E9"/>
    <w:rsid w:val="00F31DB4"/>
    <w:rsid w:val="00F323F2"/>
    <w:rsid w:val="00F35DB1"/>
    <w:rsid w:val="00F36C68"/>
    <w:rsid w:val="00F42441"/>
    <w:rsid w:val="00F4451F"/>
    <w:rsid w:val="00F45629"/>
    <w:rsid w:val="00F50E5D"/>
    <w:rsid w:val="00F5175A"/>
    <w:rsid w:val="00F52636"/>
    <w:rsid w:val="00F537E3"/>
    <w:rsid w:val="00F5499F"/>
    <w:rsid w:val="00F60E55"/>
    <w:rsid w:val="00F6306E"/>
    <w:rsid w:val="00F63924"/>
    <w:rsid w:val="00F67C0B"/>
    <w:rsid w:val="00F67C84"/>
    <w:rsid w:val="00F70156"/>
    <w:rsid w:val="00F73B55"/>
    <w:rsid w:val="00F743BB"/>
    <w:rsid w:val="00F7445E"/>
    <w:rsid w:val="00F771DE"/>
    <w:rsid w:val="00F8051A"/>
    <w:rsid w:val="00F844C4"/>
    <w:rsid w:val="00F84519"/>
    <w:rsid w:val="00F927B1"/>
    <w:rsid w:val="00F93D35"/>
    <w:rsid w:val="00FA02CE"/>
    <w:rsid w:val="00FA2781"/>
    <w:rsid w:val="00FA3BD4"/>
    <w:rsid w:val="00FA4543"/>
    <w:rsid w:val="00FA45A0"/>
    <w:rsid w:val="00FB14B9"/>
    <w:rsid w:val="00FB3713"/>
    <w:rsid w:val="00FB427E"/>
    <w:rsid w:val="00FB4B53"/>
    <w:rsid w:val="00FB5D10"/>
    <w:rsid w:val="00FB63CD"/>
    <w:rsid w:val="00FC1BB7"/>
    <w:rsid w:val="00FC3EC5"/>
    <w:rsid w:val="00FD02D7"/>
    <w:rsid w:val="00FD0570"/>
    <w:rsid w:val="00FD0DA6"/>
    <w:rsid w:val="00FD1991"/>
    <w:rsid w:val="00FD1B6C"/>
    <w:rsid w:val="00FD1D2B"/>
    <w:rsid w:val="00FD21AF"/>
    <w:rsid w:val="00FD3F67"/>
    <w:rsid w:val="00FD5E27"/>
    <w:rsid w:val="00FD74EC"/>
    <w:rsid w:val="00FE0F54"/>
    <w:rsid w:val="00FE2594"/>
    <w:rsid w:val="00FE306C"/>
    <w:rsid w:val="00FE3D16"/>
    <w:rsid w:val="00FE4677"/>
    <w:rsid w:val="00FE7898"/>
    <w:rsid w:val="00FF0559"/>
    <w:rsid w:val="00FF0D65"/>
    <w:rsid w:val="00FF3F73"/>
    <w:rsid w:val="00FF4BFE"/>
    <w:rsid w:val="00FF4CD8"/>
    <w:rsid w:val="00FF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FE301"/>
  <w15:chartTrackingRefBased/>
  <w15:docId w15:val="{AD70CD19-84C9-4BCE-BA18-3C63EAAE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47"/>
    <w:pPr>
      <w:spacing w:line="256" w:lineRule="auto"/>
    </w:pPr>
  </w:style>
  <w:style w:type="paragraph" w:styleId="Naslov1">
    <w:name w:val="heading 1"/>
    <w:basedOn w:val="Naslov2"/>
    <w:next w:val="Normal"/>
    <w:link w:val="Naslov1Char"/>
    <w:uiPriority w:val="9"/>
    <w:qFormat/>
    <w:rsid w:val="00EC6EAF"/>
    <w:pPr>
      <w:numPr>
        <w:ilvl w:val="0"/>
      </w:numPr>
      <w:jc w:val="center"/>
      <w:outlineLvl w:val="0"/>
    </w:pPr>
    <w:rPr>
      <w:sz w:val="28"/>
      <w:szCs w:val="32"/>
    </w:rPr>
  </w:style>
  <w:style w:type="paragraph" w:styleId="Naslov2">
    <w:name w:val="heading 2"/>
    <w:basedOn w:val="Naslov3"/>
    <w:next w:val="Normal"/>
    <w:link w:val="Naslov2Char"/>
    <w:uiPriority w:val="9"/>
    <w:unhideWhenUsed/>
    <w:qFormat/>
    <w:rsid w:val="00EC6EAF"/>
    <w:pPr>
      <w:numPr>
        <w:ilvl w:val="1"/>
      </w:numPr>
      <w:ind w:left="397" w:hanging="397"/>
      <w:outlineLvl w:val="1"/>
    </w:p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C6EAF"/>
    <w:pPr>
      <w:keepNext/>
      <w:keepLines/>
      <w:numPr>
        <w:ilvl w:val="2"/>
        <w:numId w:val="11"/>
      </w:numPr>
      <w:spacing w:before="240" w:after="240" w:line="240" w:lineRule="auto"/>
      <w:outlineLvl w:val="2"/>
    </w:pPr>
    <w:rPr>
      <w:rFonts w:eastAsiaTheme="majorEastAsia" w:cstheme="minorHAnsi"/>
      <w:b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C6EAF"/>
    <w:pPr>
      <w:keepNext/>
      <w:keepLines/>
      <w:numPr>
        <w:ilvl w:val="3"/>
        <w:numId w:val="11"/>
      </w:numPr>
      <w:spacing w:before="240" w:after="240" w:line="240" w:lineRule="auto"/>
      <w:outlineLvl w:val="3"/>
    </w:pPr>
    <w:rPr>
      <w:rFonts w:ascii="Calibri" w:eastAsiaTheme="majorEastAsia" w:hAnsi="Calibri" w:cstheme="majorBidi"/>
      <w:b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876748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6748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6748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6748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6748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91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13D7"/>
  </w:style>
  <w:style w:type="paragraph" w:styleId="Podnoje">
    <w:name w:val="footer"/>
    <w:basedOn w:val="Normal"/>
    <w:link w:val="PodnojeChar"/>
    <w:uiPriority w:val="99"/>
    <w:unhideWhenUsed/>
    <w:rsid w:val="00291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13D7"/>
  </w:style>
  <w:style w:type="character" w:styleId="Hiperveza">
    <w:name w:val="Hyperlink"/>
    <w:basedOn w:val="Zadanifontodlomka"/>
    <w:uiPriority w:val="99"/>
    <w:unhideWhenUsed/>
    <w:rsid w:val="002913D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913D7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223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1106AC"/>
    <w:rPr>
      <w:color w:val="808080"/>
    </w:rPr>
  </w:style>
  <w:style w:type="paragraph" w:styleId="Odlomakpopisa">
    <w:name w:val="List Paragraph"/>
    <w:basedOn w:val="Normal"/>
    <w:uiPriority w:val="34"/>
    <w:qFormat/>
    <w:rsid w:val="00F537E3"/>
    <w:pPr>
      <w:spacing w:line="259" w:lineRule="auto"/>
      <w:ind w:left="720"/>
      <w:contextualSpacing/>
    </w:pPr>
  </w:style>
  <w:style w:type="paragraph" w:styleId="Bezproreda">
    <w:name w:val="No Spacing"/>
    <w:uiPriority w:val="1"/>
    <w:qFormat/>
    <w:rsid w:val="00125C1B"/>
    <w:pPr>
      <w:spacing w:after="0" w:line="240" w:lineRule="auto"/>
    </w:pPr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5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55E5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EC6EAF"/>
    <w:rPr>
      <w:rFonts w:eastAsiaTheme="majorEastAsia" w:cstheme="minorHAnsi"/>
      <w:b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EC6EAF"/>
    <w:rPr>
      <w:rFonts w:eastAsiaTheme="majorEastAsia" w:cstheme="minorHAnsi"/>
      <w:b/>
    </w:rPr>
  </w:style>
  <w:style w:type="character" w:customStyle="1" w:styleId="Naslov3Char">
    <w:name w:val="Naslov 3 Char"/>
    <w:basedOn w:val="Zadanifontodlomka"/>
    <w:link w:val="Naslov3"/>
    <w:uiPriority w:val="9"/>
    <w:rsid w:val="00EC6EAF"/>
    <w:rPr>
      <w:rFonts w:eastAsiaTheme="majorEastAsia" w:cstheme="minorHAnsi"/>
      <w:b/>
    </w:rPr>
  </w:style>
  <w:style w:type="numbering" w:customStyle="1" w:styleId="Bezpopisa1">
    <w:name w:val="Bez popisa1"/>
    <w:next w:val="Bezpopisa"/>
    <w:uiPriority w:val="99"/>
    <w:semiHidden/>
    <w:unhideWhenUsed/>
    <w:rsid w:val="000B3A72"/>
  </w:style>
  <w:style w:type="paragraph" w:customStyle="1" w:styleId="xl77">
    <w:name w:val="xl77"/>
    <w:basedOn w:val="Normal"/>
    <w:rsid w:val="000B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8">
    <w:name w:val="xl78"/>
    <w:basedOn w:val="Normal"/>
    <w:rsid w:val="000B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0B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0B3A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1">
    <w:name w:val="xl81"/>
    <w:basedOn w:val="Normal"/>
    <w:rsid w:val="000B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82">
    <w:name w:val="xl82"/>
    <w:basedOn w:val="Normal"/>
    <w:rsid w:val="000B3A7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3">
    <w:name w:val="xl83"/>
    <w:basedOn w:val="Normal"/>
    <w:rsid w:val="000B3A7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84">
    <w:name w:val="xl84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6">
    <w:name w:val="xl86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8">
    <w:name w:val="xl88"/>
    <w:basedOn w:val="Normal"/>
    <w:rsid w:val="000B3A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9">
    <w:name w:val="xl89"/>
    <w:basedOn w:val="Normal"/>
    <w:rsid w:val="000B3A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0">
    <w:name w:val="xl90"/>
    <w:basedOn w:val="Normal"/>
    <w:rsid w:val="000B3A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91">
    <w:name w:val="xl91"/>
    <w:basedOn w:val="Normal"/>
    <w:rsid w:val="000B3A7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3">
    <w:name w:val="xl93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4">
    <w:name w:val="xl94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5">
    <w:name w:val="xl95"/>
    <w:basedOn w:val="Normal"/>
    <w:rsid w:val="000B3A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0B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7">
    <w:name w:val="xl97"/>
    <w:basedOn w:val="Normal"/>
    <w:rsid w:val="000B3A7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8">
    <w:name w:val="xl98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99">
    <w:name w:val="xl99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00">
    <w:name w:val="xl100"/>
    <w:basedOn w:val="Normal"/>
    <w:rsid w:val="000B3A7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1">
    <w:name w:val="xl101"/>
    <w:basedOn w:val="Normal"/>
    <w:rsid w:val="000B3A7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0B3A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103">
    <w:name w:val="xl103"/>
    <w:basedOn w:val="Normal"/>
    <w:rsid w:val="000B3A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4">
    <w:name w:val="xl104"/>
    <w:basedOn w:val="Normal"/>
    <w:rsid w:val="000B3A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ekstbaloniaChar1">
    <w:name w:val="Tekst balončića Char1"/>
    <w:basedOn w:val="Zadanifontodlomka"/>
    <w:uiPriority w:val="99"/>
    <w:semiHidden/>
    <w:rsid w:val="000B3A72"/>
    <w:rPr>
      <w:rFonts w:ascii="Segoe UI" w:hAnsi="Segoe UI" w:cs="Segoe UI"/>
      <w:sz w:val="18"/>
      <w:szCs w:val="18"/>
    </w:rPr>
  </w:style>
  <w:style w:type="table" w:styleId="Svijetlareetkatablice">
    <w:name w:val="Grid Table Light"/>
    <w:basedOn w:val="Obinatablica"/>
    <w:uiPriority w:val="40"/>
    <w:rsid w:val="000B3A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pisslike">
    <w:name w:val="caption"/>
    <w:basedOn w:val="Normal"/>
    <w:next w:val="Normal"/>
    <w:link w:val="OpisslikeChar"/>
    <w:uiPriority w:val="35"/>
    <w:unhideWhenUsed/>
    <w:qFormat/>
    <w:rsid w:val="000B3A7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B3A7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B3A7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B3A72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B3A7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B3A7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unhideWhenUsed/>
    <w:rsid w:val="000B3A72"/>
    <w:pPr>
      <w:spacing w:after="0" w:line="259" w:lineRule="auto"/>
    </w:pPr>
  </w:style>
  <w:style w:type="paragraph" w:styleId="TOCNaslov">
    <w:name w:val="TOC Heading"/>
    <w:basedOn w:val="Naslov1"/>
    <w:next w:val="Normal"/>
    <w:uiPriority w:val="39"/>
    <w:unhideWhenUsed/>
    <w:qFormat/>
    <w:rsid w:val="000B3A72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C84EB4"/>
    <w:pPr>
      <w:tabs>
        <w:tab w:val="right" w:leader="dot" w:pos="9628"/>
      </w:tabs>
      <w:spacing w:after="100" w:line="240" w:lineRule="auto"/>
      <w:ind w:left="227" w:hanging="227"/>
    </w:pPr>
  </w:style>
  <w:style w:type="paragraph" w:styleId="Sadraj2">
    <w:name w:val="toc 2"/>
    <w:basedOn w:val="Normal"/>
    <w:next w:val="Normal"/>
    <w:autoRedefine/>
    <w:uiPriority w:val="39"/>
    <w:unhideWhenUsed/>
    <w:rsid w:val="00C84EB4"/>
    <w:pPr>
      <w:tabs>
        <w:tab w:val="right" w:leader="dot" w:pos="9628"/>
      </w:tabs>
      <w:spacing w:after="100" w:line="240" w:lineRule="auto"/>
      <w:ind w:left="618" w:hanging="397"/>
    </w:pPr>
  </w:style>
  <w:style w:type="paragraph" w:styleId="Sadraj3">
    <w:name w:val="toc 3"/>
    <w:basedOn w:val="Normal"/>
    <w:next w:val="Normal"/>
    <w:autoRedefine/>
    <w:uiPriority w:val="39"/>
    <w:unhideWhenUsed/>
    <w:rsid w:val="00C84EB4"/>
    <w:pPr>
      <w:tabs>
        <w:tab w:val="right" w:leader="dot" w:pos="9628"/>
      </w:tabs>
      <w:spacing w:after="100" w:line="240" w:lineRule="auto"/>
      <w:ind w:left="624"/>
    </w:pPr>
  </w:style>
  <w:style w:type="character" w:styleId="SlijeenaHiperveza">
    <w:name w:val="FollowedHyperlink"/>
    <w:basedOn w:val="Zadanifontodlomka"/>
    <w:uiPriority w:val="99"/>
    <w:semiHidden/>
    <w:unhideWhenUsed/>
    <w:rsid w:val="000B3A72"/>
    <w:rPr>
      <w:color w:val="954F72"/>
      <w:u w:val="single"/>
    </w:rPr>
  </w:style>
  <w:style w:type="paragraph" w:customStyle="1" w:styleId="xl65">
    <w:name w:val="xl65"/>
    <w:basedOn w:val="Normal"/>
    <w:rsid w:val="000B3A72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sz w:val="18"/>
      <w:szCs w:val="18"/>
      <w:lang w:eastAsia="hr-HR"/>
    </w:rPr>
  </w:style>
  <w:style w:type="paragraph" w:customStyle="1" w:styleId="xl66">
    <w:name w:val="xl66"/>
    <w:basedOn w:val="Normal"/>
    <w:rsid w:val="000B3A72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67">
    <w:name w:val="xl67"/>
    <w:basedOn w:val="Normal"/>
    <w:rsid w:val="000B3A72"/>
    <w:pP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68">
    <w:name w:val="xl68"/>
    <w:basedOn w:val="Normal"/>
    <w:rsid w:val="000B3A72"/>
    <w:pPr>
      <w:shd w:val="clear" w:color="000000" w:fill="ADD8E6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69">
    <w:name w:val="xl69"/>
    <w:basedOn w:val="Normal"/>
    <w:rsid w:val="000B3A7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0">
    <w:name w:val="xl70"/>
    <w:basedOn w:val="Normal"/>
    <w:rsid w:val="000B3A7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1">
    <w:name w:val="xl71"/>
    <w:basedOn w:val="Normal"/>
    <w:rsid w:val="000B3A72"/>
    <w:pPr>
      <w:shd w:val="clear" w:color="000000" w:fill="9BC2E6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72">
    <w:name w:val="xl72"/>
    <w:basedOn w:val="Normal"/>
    <w:rsid w:val="000B3A72"/>
    <w:pPr>
      <w:shd w:val="clear" w:color="000000" w:fill="BDD7EE"/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customStyle="1" w:styleId="xl73">
    <w:name w:val="xl73"/>
    <w:basedOn w:val="Normal"/>
    <w:rsid w:val="000B3A7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4">
    <w:name w:val="xl74"/>
    <w:basedOn w:val="Normal"/>
    <w:rsid w:val="000B3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0B3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0B3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63">
    <w:name w:val="xl63"/>
    <w:basedOn w:val="Normal"/>
    <w:rsid w:val="000B3A72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sz w:val="18"/>
      <w:szCs w:val="18"/>
      <w:lang w:eastAsia="hr-HR"/>
    </w:rPr>
  </w:style>
  <w:style w:type="paragraph" w:customStyle="1" w:styleId="xl64">
    <w:name w:val="xl64"/>
    <w:basedOn w:val="Normal"/>
    <w:rsid w:val="000B3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character" w:customStyle="1" w:styleId="OpisslikeChar">
    <w:name w:val="Opis slike Char"/>
    <w:basedOn w:val="Zadanifontodlomka"/>
    <w:link w:val="Opisslike"/>
    <w:uiPriority w:val="35"/>
    <w:rsid w:val="000B3A72"/>
    <w:rPr>
      <w:i/>
      <w:iCs/>
      <w:color w:val="44546A" w:themeColor="text2"/>
      <w:sz w:val="18"/>
      <w:szCs w:val="18"/>
    </w:rPr>
  </w:style>
  <w:style w:type="character" w:customStyle="1" w:styleId="xrtl">
    <w:name w:val="xr_tl"/>
    <w:basedOn w:val="Zadanifontodlomka"/>
    <w:rsid w:val="00417332"/>
  </w:style>
  <w:style w:type="paragraph" w:styleId="Naslov">
    <w:name w:val="Title"/>
    <w:basedOn w:val="Normal"/>
    <w:next w:val="Normal"/>
    <w:link w:val="NaslovChar"/>
    <w:uiPriority w:val="10"/>
    <w:qFormat/>
    <w:rsid w:val="00DD1998"/>
    <w:pPr>
      <w:spacing w:before="360" w:after="360" w:line="240" w:lineRule="auto"/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D1998"/>
    <w:rPr>
      <w:rFonts w:ascii="Calibri" w:eastAsiaTheme="majorEastAsia" w:hAnsi="Calibri" w:cstheme="majorBidi"/>
      <w:b/>
      <w:spacing w:val="-10"/>
      <w:kern w:val="28"/>
      <w:sz w:val="32"/>
      <w:szCs w:val="56"/>
    </w:rPr>
  </w:style>
  <w:style w:type="numbering" w:customStyle="1" w:styleId="Stil1">
    <w:name w:val="Stil1"/>
    <w:uiPriority w:val="99"/>
    <w:rsid w:val="00FE4677"/>
    <w:pPr>
      <w:numPr>
        <w:numId w:val="10"/>
      </w:numPr>
    </w:pPr>
  </w:style>
  <w:style w:type="character" w:customStyle="1" w:styleId="Naslov4Char">
    <w:name w:val="Naslov 4 Char"/>
    <w:basedOn w:val="Zadanifontodlomka"/>
    <w:link w:val="Naslov4"/>
    <w:uiPriority w:val="9"/>
    <w:rsid w:val="00EC6EAF"/>
    <w:rPr>
      <w:rFonts w:ascii="Calibri" w:eastAsiaTheme="majorEastAsia" w:hAnsi="Calibri" w:cstheme="majorBidi"/>
      <w:b/>
      <w:iCs/>
    </w:rPr>
  </w:style>
  <w:style w:type="character" w:customStyle="1" w:styleId="Naslov5Char">
    <w:name w:val="Naslov 5 Char"/>
    <w:basedOn w:val="Zadanifontodlomka"/>
    <w:link w:val="Naslov5"/>
    <w:uiPriority w:val="9"/>
    <w:rsid w:val="0087674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674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674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674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67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draj4">
    <w:name w:val="toc 4"/>
    <w:basedOn w:val="Normal"/>
    <w:next w:val="Normal"/>
    <w:autoRedefine/>
    <w:uiPriority w:val="39"/>
    <w:unhideWhenUsed/>
    <w:rsid w:val="00C84EB4"/>
    <w:pPr>
      <w:tabs>
        <w:tab w:val="right" w:leader="dot" w:pos="9628"/>
      </w:tabs>
      <w:spacing w:after="100" w:line="240" w:lineRule="auto"/>
      <w:ind w:left="1191"/>
    </w:pPr>
  </w:style>
  <w:style w:type="character" w:customStyle="1" w:styleId="kurziv">
    <w:name w:val="kurziv"/>
    <w:basedOn w:val="Zadanifontodlomka"/>
    <w:rsid w:val="009E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FILES.zuc.corp\ZUC_corporate\Zajedni&#269;ki%20dokumenti\Izvje&#353;taji\Izvje&#353;taji%202025\GODI&#352;NJI%20IZVJE&#352;TAJ%20O%20IZVR&#352;ENJU%20FP\Izvanredno%20odr&#382;avanje.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5878750652052467E-2"/>
          <c:y val="3.8807549832421941E-2"/>
          <c:w val="0.92427271071711881"/>
          <c:h val="0.7775666249515600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OSTVARENJE 2024.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softEdge">
              <a:bevelT/>
            </a:sp3d>
          </c:spPr>
          <c:invertIfNegative val="0"/>
          <c:dLbls>
            <c:dLbl>
              <c:idx val="0"/>
              <c:layout>
                <c:manualLayout>
                  <c:x val="-9.8000784006272053E-3"/>
                  <c:y val="-6.46785025491225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490-4AAA-A69C-C64A992AAA4D}"/>
                </c:ext>
              </c:extLst>
            </c:dLbl>
            <c:dLbl>
              <c:idx val="1"/>
              <c:layout>
                <c:manualLayout>
                  <c:x val="-5.8800470403763232E-3"/>
                  <c:y val="3.52795907567472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490-4AAA-A69C-C64A992AAA4D}"/>
                </c:ext>
              </c:extLst>
            </c:dLbl>
            <c:dLbl>
              <c:idx val="2"/>
              <c:layout>
                <c:manualLayout>
                  <c:x val="-9.800078400627241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490-4AAA-A69C-C64A992AAA4D}"/>
                </c:ext>
              </c:extLst>
            </c:dLbl>
            <c:dLbl>
              <c:idx val="7"/>
              <c:layout>
                <c:manualLayout>
                  <c:x val="-3.920031360250882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490-4AAA-A69C-C64A992AAA4D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List1!$A$2:$A$18</c:f>
              <c:strCache>
                <c:ptCount val="8"/>
                <c:pt idx="0">
                  <c:v>PRIHODI POSLOVANJA</c:v>
                </c:pt>
                <c:pt idx="1">
                  <c:v>Pomoći unutar općeg proračuna</c:v>
                </c:pt>
                <c:pt idx="2">
                  <c:v>Prihodi od imovine</c:v>
                </c:pt>
                <c:pt idx="3">
                  <c:v>Prihodi po posebnim propisima</c:v>
                </c:pt>
                <c:pt idx="4">
                  <c:v>Prihodi od donacija </c:v>
                </c:pt>
                <c:pt idx="5">
                  <c:v>Ostali prihodi</c:v>
                </c:pt>
                <c:pt idx="6">
                  <c:v>PRIHODI OD PRODAJE NEFINANCIJSKE IMOVINE</c:v>
                </c:pt>
                <c:pt idx="7">
                  <c:v>PRIHODI UKUPNO</c:v>
                </c:pt>
              </c:strCache>
            </c:strRef>
          </c:cat>
          <c:val>
            <c:numRef>
              <c:f>List1!$B$2:$B$18</c:f>
              <c:numCache>
                <c:formatCode>#,##0.00</c:formatCode>
                <c:ptCount val="8"/>
                <c:pt idx="0">
                  <c:v>14380396.5</c:v>
                </c:pt>
                <c:pt idx="1">
                  <c:v>887433.71</c:v>
                </c:pt>
                <c:pt idx="2">
                  <c:v>13042137.93</c:v>
                </c:pt>
                <c:pt idx="3">
                  <c:v>342.78</c:v>
                </c:pt>
                <c:pt idx="4">
                  <c:v>428988.76</c:v>
                </c:pt>
                <c:pt idx="5">
                  <c:v>21493.32</c:v>
                </c:pt>
                <c:pt idx="6">
                  <c:v>5501</c:v>
                </c:pt>
                <c:pt idx="7">
                  <c:v>14385897.5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490-4AAA-A69C-C64A992AAA4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IZVORNI PLAN 2025.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softEdge">
              <a:bevelT/>
            </a:sp3d>
          </c:spPr>
          <c:invertIfNegative val="0"/>
          <c:dLbls>
            <c:dLbl>
              <c:idx val="0"/>
              <c:layout>
                <c:manualLayout>
                  <c:x val="-1.9600156801254411E-2"/>
                  <c:y val="-7.05591815134947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490-4AAA-A69C-C64A992AAA4D}"/>
                </c:ext>
              </c:extLst>
            </c:dLbl>
            <c:dLbl>
              <c:idx val="2"/>
              <c:layout>
                <c:manualLayout>
                  <c:x val="-7.8400627205017642E-3"/>
                  <c:y val="-7.05591815134944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490-4AAA-A69C-C64A992AAA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List1!$A$2:$A$18</c:f>
              <c:strCache>
                <c:ptCount val="8"/>
                <c:pt idx="0">
                  <c:v>PRIHODI POSLOVANJA</c:v>
                </c:pt>
                <c:pt idx="1">
                  <c:v>Pomoći unutar općeg proračuna</c:v>
                </c:pt>
                <c:pt idx="2">
                  <c:v>Prihodi od imovine</c:v>
                </c:pt>
                <c:pt idx="3">
                  <c:v>Prihodi po posebnim propisima</c:v>
                </c:pt>
                <c:pt idx="4">
                  <c:v>Prihodi od donacija </c:v>
                </c:pt>
                <c:pt idx="5">
                  <c:v>Ostali prihodi</c:v>
                </c:pt>
                <c:pt idx="6">
                  <c:v>PRIHODI OD PRODAJE NEFINANCIJSKE IMOVINE</c:v>
                </c:pt>
                <c:pt idx="7">
                  <c:v>PRIHODI UKUPNO</c:v>
                </c:pt>
              </c:strCache>
            </c:strRef>
          </c:cat>
          <c:val>
            <c:numRef>
              <c:f>List1!$C$2:$C$18</c:f>
              <c:numCache>
                <c:formatCode>#,##0.00</c:formatCode>
                <c:ptCount val="8"/>
                <c:pt idx="0">
                  <c:v>17380038.440000001</c:v>
                </c:pt>
                <c:pt idx="1">
                  <c:v>3176767.12</c:v>
                </c:pt>
                <c:pt idx="2">
                  <c:v>13218540.710000001</c:v>
                </c:pt>
                <c:pt idx="3">
                  <c:v>18000</c:v>
                </c:pt>
                <c:pt idx="4">
                  <c:v>960230.61</c:v>
                </c:pt>
                <c:pt idx="5">
                  <c:v>6500</c:v>
                </c:pt>
                <c:pt idx="6">
                  <c:v>12111.08</c:v>
                </c:pt>
                <c:pt idx="7">
                  <c:v>20032861.59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490-4AAA-A69C-C64A992AAA4D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OSTVARENJE 2025.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softEdge">
              <a:bevelT/>
            </a:sp3d>
          </c:spPr>
          <c:invertIfNegative val="0"/>
          <c:dLbls>
            <c:dLbl>
              <c:idx val="1"/>
              <c:layout>
                <c:manualLayout>
                  <c:x val="-3.9200313602509177E-3"/>
                  <c:y val="-1.0583877227024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490-4AAA-A69C-C64A992AAA4D}"/>
                </c:ext>
              </c:extLst>
            </c:dLbl>
            <c:dLbl>
              <c:idx val="3"/>
              <c:layout>
                <c:manualLayout>
                  <c:x val="0"/>
                  <c:y val="-1.05838772270242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490-4AAA-A69C-C64A992AAA4D}"/>
                </c:ext>
              </c:extLst>
            </c:dLbl>
            <c:dLbl>
              <c:idx val="4"/>
              <c:layout>
                <c:manualLayout>
                  <c:x val="0"/>
                  <c:y val="3.527959075674592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490-4AAA-A69C-C64A992AAA4D}"/>
                </c:ext>
              </c:extLst>
            </c:dLbl>
            <c:dLbl>
              <c:idx val="5"/>
              <c:layout>
                <c:manualLayout>
                  <c:x val="0"/>
                  <c:y val="-1.0583877227024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490-4AAA-A69C-C64A992AAA4D}"/>
                </c:ext>
              </c:extLst>
            </c:dLbl>
            <c:dLbl>
              <c:idx val="6"/>
              <c:layout>
                <c:manualLayout>
                  <c:x val="-3.9200313602508821E-3"/>
                  <c:y val="-1.05838772270241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7490-4AAA-A69C-C64A992AAA4D}"/>
                </c:ext>
              </c:extLst>
            </c:dLbl>
            <c:dLbl>
              <c:idx val="7"/>
              <c:layout>
                <c:manualLayout>
                  <c:x val="1.764014112112897E-2"/>
                  <c:y val="-3.5279590756747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490-4AAA-A69C-C64A992AAA4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List1!$A$2:$A$18</c:f>
              <c:strCache>
                <c:ptCount val="8"/>
                <c:pt idx="0">
                  <c:v>PRIHODI POSLOVANJA</c:v>
                </c:pt>
                <c:pt idx="1">
                  <c:v>Pomoći unutar općeg proračuna</c:v>
                </c:pt>
                <c:pt idx="2">
                  <c:v>Prihodi od imovine</c:v>
                </c:pt>
                <c:pt idx="3">
                  <c:v>Prihodi po posebnim propisima</c:v>
                </c:pt>
                <c:pt idx="4">
                  <c:v>Prihodi od donacija </c:v>
                </c:pt>
                <c:pt idx="5">
                  <c:v>Ostali prihodi</c:v>
                </c:pt>
                <c:pt idx="6">
                  <c:v>PRIHODI OD PRODAJE NEFINANCIJSKE IMOVINE</c:v>
                </c:pt>
                <c:pt idx="7">
                  <c:v>PRIHODI UKUPNO</c:v>
                </c:pt>
              </c:strCache>
            </c:strRef>
          </c:cat>
          <c:val>
            <c:numRef>
              <c:f>List1!$D$2:$D$18</c:f>
              <c:numCache>
                <c:formatCode>#,##0.00</c:formatCode>
                <c:ptCount val="8"/>
                <c:pt idx="0">
                  <c:v>16626091.699999999</c:v>
                </c:pt>
                <c:pt idx="1">
                  <c:v>2030468.6</c:v>
                </c:pt>
                <c:pt idx="2">
                  <c:v>13597543.689999999</c:v>
                </c:pt>
                <c:pt idx="3">
                  <c:v>30998.37</c:v>
                </c:pt>
                <c:pt idx="4">
                  <c:v>960230.61</c:v>
                </c:pt>
                <c:pt idx="5">
                  <c:v>6850.43</c:v>
                </c:pt>
                <c:pt idx="6">
                  <c:v>360</c:v>
                </c:pt>
                <c:pt idx="7">
                  <c:v>16626451.699999999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490-4AAA-A69C-C64A992AAA4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80599976"/>
        <c:axId val="680602720"/>
        <c:axId val="671973048"/>
      </c:bar3DChart>
      <c:catAx>
        <c:axId val="680599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9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80602720"/>
        <c:crosses val="autoZero"/>
        <c:auto val="1"/>
        <c:lblAlgn val="ctr"/>
        <c:lblOffset val="100"/>
        <c:noMultiLvlLbl val="0"/>
      </c:catAx>
      <c:valAx>
        <c:axId val="680602720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accent1">
                  <a:lumMod val="40000"/>
                  <a:lumOff val="60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80599976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5.6963920278291387E-4"/>
                <c:y val="0.18964891251355973"/>
              </c:manualLayout>
            </c:layout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erAx>
        <c:axId val="671973048"/>
        <c:scaling>
          <c:orientation val="minMax"/>
        </c:scaling>
        <c:delete val="1"/>
        <c:axPos val="b"/>
        <c:majorTickMark val="none"/>
        <c:minorTickMark val="none"/>
        <c:tickLblPos val="nextTo"/>
        <c:crossAx val="680602720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B0F0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9895373490213025E-2"/>
          <c:y val="3.6814114058639123E-2"/>
          <c:w val="0.93312822453257416"/>
          <c:h val="0.77844555900789347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IZVRŠENJE 2024.</c:v>
                </c:pt>
              </c:strCache>
            </c:strRef>
          </c:tx>
          <c:spPr>
            <a:solidFill>
              <a:schemeClr val="accent3">
                <a:lumMod val="40000"/>
                <a:lumOff val="60000"/>
              </a:schemeClr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softEdge">
              <a:bevelT/>
            </a:sp3d>
          </c:spPr>
          <c:invertIfNegative val="0"/>
          <c:dLbls>
            <c:dLbl>
              <c:idx val="0"/>
              <c:layout>
                <c:manualLayout>
                  <c:x val="-7.698229407236335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A58-4356-B905-25E0D6EF4DD7}"/>
                </c:ext>
              </c:extLst>
            </c:dLbl>
            <c:dLbl>
              <c:idx val="2"/>
              <c:layout>
                <c:manualLayout>
                  <c:x val="-7.698229407236370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A58-4356-B905-25E0D6EF4DD7}"/>
                </c:ext>
              </c:extLst>
            </c:dLbl>
            <c:dLbl>
              <c:idx val="6"/>
              <c:layout>
                <c:manualLayout>
                  <c:x val="-1.4113257542377822E-16"/>
                  <c:y val="7.05591815134944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A58-4356-B905-25E0D6EF4DD7}"/>
                </c:ext>
              </c:extLst>
            </c:dLbl>
            <c:dLbl>
              <c:idx val="8"/>
              <c:layout>
                <c:manualLayout>
                  <c:x val="-3.8491147036181679E-3"/>
                  <c:y val="-7.05591815134944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A58-4356-B905-25E0D6EF4D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List1!$A$2:$A$13</c:f>
              <c:strCache>
                <c:ptCount val="9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unutar općeg proračuna</c:v>
                </c:pt>
                <c:pt idx="5">
                  <c:v>Ostali rashodi</c:v>
                </c:pt>
                <c:pt idx="6">
                  <c:v>RASHODI ZA NABAVU NEFINANCIJSKE IMOVINE</c:v>
                </c:pt>
                <c:pt idx="7">
                  <c:v>IZDACI ZA FINANCIJSKU IMOVINU I OTPLATU ZAJMOVA</c:v>
                </c:pt>
                <c:pt idx="8">
                  <c:v>RASHODI/IZDACI UKUPNO</c:v>
                </c:pt>
              </c:strCache>
            </c:strRef>
          </c:cat>
          <c:val>
            <c:numRef>
              <c:f>List1!$B$2:$B$13</c:f>
              <c:numCache>
                <c:formatCode>#,##0.00</c:formatCode>
                <c:ptCount val="9"/>
                <c:pt idx="0">
                  <c:v>13743403.67</c:v>
                </c:pt>
                <c:pt idx="1">
                  <c:v>570642.56000000006</c:v>
                </c:pt>
                <c:pt idx="2">
                  <c:v>12316831.369999999</c:v>
                </c:pt>
                <c:pt idx="3">
                  <c:v>31395.24</c:v>
                </c:pt>
                <c:pt idx="4">
                  <c:v>819758.88</c:v>
                </c:pt>
                <c:pt idx="5">
                  <c:v>4775.62</c:v>
                </c:pt>
                <c:pt idx="6">
                  <c:v>984046.73</c:v>
                </c:pt>
                <c:pt idx="7">
                  <c:v>400000</c:v>
                </c:pt>
                <c:pt idx="8">
                  <c:v>15127450.4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A58-4356-B905-25E0D6EF4DD7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IZVORNI PLAN 2025.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softEdge">
              <a:bevelT/>
            </a:sp3d>
          </c:spPr>
          <c:invertIfNegative val="0"/>
          <c:dLbls>
            <c:dLbl>
              <c:idx val="0"/>
              <c:layout>
                <c:manualLayout>
                  <c:x val="-1.92455735180908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A58-4356-B905-25E0D6EF4DD7}"/>
                </c:ext>
              </c:extLst>
            </c:dLbl>
            <c:dLbl>
              <c:idx val="1"/>
              <c:layout>
                <c:manualLayout>
                  <c:x val="-3.84911470361816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A58-4356-B905-25E0D6EF4DD7}"/>
                </c:ext>
              </c:extLst>
            </c:dLbl>
            <c:dLbl>
              <c:idx val="6"/>
              <c:layout>
                <c:manualLayout>
                  <c:x val="-9.6227867590454198E-3"/>
                  <c:y val="-6.46785025491225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A58-4356-B905-25E0D6EF4D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List1!$A$2:$A$13</c:f>
              <c:strCache>
                <c:ptCount val="9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unutar općeg proračuna</c:v>
                </c:pt>
                <c:pt idx="5">
                  <c:v>Ostali rashodi</c:v>
                </c:pt>
                <c:pt idx="6">
                  <c:v>RASHODI ZA NABAVU NEFINANCIJSKE IMOVINE</c:v>
                </c:pt>
                <c:pt idx="7">
                  <c:v>IZDACI ZA FINANCIJSKU IMOVINU I OTPLATU ZAJMOVA</c:v>
                </c:pt>
                <c:pt idx="8">
                  <c:v>RASHODI/IZDACI UKUPNO</c:v>
                </c:pt>
              </c:strCache>
            </c:strRef>
          </c:cat>
          <c:val>
            <c:numRef>
              <c:f>List1!$C$2:$C$13</c:f>
              <c:numCache>
                <c:formatCode>#,##0.00</c:formatCode>
                <c:ptCount val="9"/>
                <c:pt idx="0">
                  <c:v>15503086.289999999</c:v>
                </c:pt>
                <c:pt idx="1">
                  <c:v>932991.67</c:v>
                </c:pt>
                <c:pt idx="2">
                  <c:v>13505923.33</c:v>
                </c:pt>
                <c:pt idx="3">
                  <c:v>84771.29</c:v>
                </c:pt>
                <c:pt idx="4">
                  <c:v>870400</c:v>
                </c:pt>
                <c:pt idx="5">
                  <c:v>109000</c:v>
                </c:pt>
                <c:pt idx="6">
                  <c:v>4129775.3</c:v>
                </c:pt>
                <c:pt idx="7">
                  <c:v>400000</c:v>
                </c:pt>
                <c:pt idx="8">
                  <c:v>20032861.59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A58-4356-B905-25E0D6EF4DD7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IZVRŠENJE 2025.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 prstMaterial="softEdge">
              <a:bevelT/>
            </a:sp3d>
          </c:spPr>
          <c:invertIfNegative val="0"/>
          <c:dLbls>
            <c:dLbl>
              <c:idx val="0"/>
              <c:layout>
                <c:manualLayout>
                  <c:x val="1.5396458814472672E-2"/>
                  <c:y val="-3.52795907567472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A58-4356-B905-25E0D6EF4DD7}"/>
                </c:ext>
              </c:extLst>
            </c:dLbl>
            <c:dLbl>
              <c:idx val="1"/>
              <c:layout>
                <c:manualLayout>
                  <c:x val="-1.9245573518091193E-3"/>
                  <c:y val="6.467850254912256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A58-4356-B905-25E0D6EF4DD7}"/>
                </c:ext>
              </c:extLst>
            </c:dLbl>
            <c:dLbl>
              <c:idx val="2"/>
              <c:layout>
                <c:manualLayout>
                  <c:x val="2.50192455735180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A58-4356-B905-25E0D6EF4DD7}"/>
                </c:ext>
              </c:extLst>
            </c:dLbl>
            <c:dLbl>
              <c:idx val="3"/>
              <c:layout>
                <c:manualLayout>
                  <c:x val="-7.0566287711889108E-17"/>
                  <c:y val="-1.05838772270241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A58-4356-B905-25E0D6EF4DD7}"/>
                </c:ext>
              </c:extLst>
            </c:dLbl>
            <c:dLbl>
              <c:idx val="5"/>
              <c:layout>
                <c:manualLayout>
                  <c:x val="0"/>
                  <c:y val="-7.0559181513495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A58-4356-B905-25E0D6EF4DD7}"/>
                </c:ext>
              </c:extLst>
            </c:dLbl>
            <c:dLbl>
              <c:idx val="7"/>
              <c:layout>
                <c:manualLayout>
                  <c:x val="-3.8491147036183089E-3"/>
                  <c:y val="-3.52795907567472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A58-4356-B905-25E0D6EF4DD7}"/>
                </c:ext>
              </c:extLst>
            </c:dLbl>
            <c:dLbl>
              <c:idx val="8"/>
              <c:layout>
                <c:manualLayout>
                  <c:x val="2.117013086989992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A58-4356-B905-25E0D6EF4D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List1!$A$2:$A$13</c:f>
              <c:strCache>
                <c:ptCount val="9"/>
                <c:pt idx="0">
                  <c:v>RASHODI POSLOVANJA</c:v>
                </c:pt>
                <c:pt idx="1">
                  <c:v>Rashodi za zaposlene</c:v>
                </c:pt>
                <c:pt idx="2">
                  <c:v>Materijalni rashodi</c:v>
                </c:pt>
                <c:pt idx="3">
                  <c:v>Financijski rashodi</c:v>
                </c:pt>
                <c:pt idx="4">
                  <c:v>Pomoći dane unutar općeg proračuna</c:v>
                </c:pt>
                <c:pt idx="5">
                  <c:v>Ostali rashodi</c:v>
                </c:pt>
                <c:pt idx="6">
                  <c:v>RASHODI ZA NABAVU NEFINANCIJSKE IMOVINE</c:v>
                </c:pt>
                <c:pt idx="7">
                  <c:v>IZDACI ZA FINANCIJSKU IMOVINU I OTPLATU ZAJMOVA</c:v>
                </c:pt>
                <c:pt idx="8">
                  <c:v>RASHODI/IZDACI UKUPNO</c:v>
                </c:pt>
              </c:strCache>
            </c:strRef>
          </c:cat>
          <c:val>
            <c:numRef>
              <c:f>List1!$D$2:$D$13</c:f>
              <c:numCache>
                <c:formatCode>#,##0.00</c:formatCode>
                <c:ptCount val="9"/>
                <c:pt idx="0">
                  <c:v>13092199.960000001</c:v>
                </c:pt>
                <c:pt idx="1">
                  <c:v>901371.48</c:v>
                </c:pt>
                <c:pt idx="2">
                  <c:v>11281347.93</c:v>
                </c:pt>
                <c:pt idx="3">
                  <c:v>80508.429999999993</c:v>
                </c:pt>
                <c:pt idx="4">
                  <c:v>803862.43</c:v>
                </c:pt>
                <c:pt idx="5">
                  <c:v>25109.69</c:v>
                </c:pt>
                <c:pt idx="6">
                  <c:v>2924509.33</c:v>
                </c:pt>
                <c:pt idx="7">
                  <c:v>400000</c:v>
                </c:pt>
                <c:pt idx="8">
                  <c:v>16416709.289999999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A58-4356-B905-25E0D6EF4DD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680600368"/>
        <c:axId val="680599584"/>
        <c:axId val="671961600"/>
      </c:bar3DChart>
      <c:catAx>
        <c:axId val="68060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1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80599584"/>
        <c:crosses val="autoZero"/>
        <c:auto val="1"/>
        <c:lblAlgn val="ctr"/>
        <c:lblOffset val="100"/>
        <c:noMultiLvlLbl val="0"/>
      </c:catAx>
      <c:valAx>
        <c:axId val="680599584"/>
        <c:scaling>
          <c:orientation val="minMax"/>
        </c:scaling>
        <c:delete val="0"/>
        <c:axPos val="l"/>
        <c:majorGridlines>
          <c:spPr>
            <a:ln w="12700" cap="flat" cmpd="sng" algn="ctr">
              <a:solidFill>
                <a:schemeClr val="accent1">
                  <a:lumMod val="40000"/>
                  <a:lumOff val="60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680600368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1.9056148581889166E-3"/>
                <c:y val="0.18169128135751417"/>
              </c:manualLayout>
            </c:layout>
            <c:spPr>
              <a:noFill/>
              <a:ln>
                <a:noFill/>
              </a:ln>
              <a:effectLst/>
            </c:spPr>
            <c:txPr>
              <a:bodyPr rot="0" spcFirstLastPara="1" vertOverflow="ellipsis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erAx>
        <c:axId val="671961600"/>
        <c:scaling>
          <c:orientation val="minMax"/>
        </c:scaling>
        <c:delete val="1"/>
        <c:axPos val="b"/>
        <c:majorTickMark val="none"/>
        <c:minorTickMark val="none"/>
        <c:tickLblPos val="nextTo"/>
        <c:crossAx val="680599584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B0F0"/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25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3477328564359445"/>
          <c:w val="1"/>
          <c:h val="0.60085039370078741"/>
        </c:manualLayout>
      </c:layout>
      <c:pie3DChart>
        <c:varyColors val="1"/>
        <c:ser>
          <c:idx val="0"/>
          <c:order val="0"/>
          <c:tx>
            <c:strRef>
              <c:f>'100301'!$K$2</c:f>
              <c:strCache>
                <c:ptCount val="1"/>
                <c:pt idx="0">
                  <c:v>IZVRŠENJE 2025.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  <a:contourClr>
                <a:srgbClr val="000000"/>
              </a:contourClr>
            </a:sp3d>
          </c:spPr>
          <c:explosion val="10"/>
          <c:dPt>
            <c:idx val="0"/>
            <c:bubble3D val="0"/>
            <c:spPr>
              <a:solidFill>
                <a:srgbClr val="00B0F0"/>
              </a:solidFill>
              <a:ln w="38100">
                <a:solidFill>
                  <a:srgbClr val="0070C0"/>
                </a:solidFill>
              </a:ln>
              <a:effectLst/>
              <a:scene3d>
                <a:camera prst="orthographicFront"/>
                <a:lightRig rig="threePt" dir="t"/>
              </a:scene3d>
              <a:sp3d contourW="38100">
                <a:bevelT/>
                <a:contourClr>
                  <a:srgbClr val="0070C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D8F3-4906-85A9-E1DA6F98F219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 w="38100">
                <a:solidFill>
                  <a:srgbClr val="00B050"/>
                </a:solidFill>
              </a:ln>
              <a:effectLst/>
              <a:scene3d>
                <a:camera prst="orthographicFront"/>
                <a:lightRig rig="threePt" dir="t"/>
              </a:scene3d>
              <a:sp3d contourW="38100">
                <a:bevelT/>
                <a:contourClr>
                  <a:srgbClr val="00B05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D8F3-4906-85A9-E1DA6F98F219}"/>
              </c:ext>
            </c:extLst>
          </c:dPt>
          <c:dPt>
            <c:idx val="2"/>
            <c:bubble3D val="0"/>
            <c:spPr>
              <a:solidFill>
                <a:schemeClr val="bg2">
                  <a:lumMod val="90000"/>
                </a:schemeClr>
              </a:solidFill>
              <a:ln w="38100">
                <a:solidFill>
                  <a:schemeClr val="bg2">
                    <a:lumMod val="75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contourW="38100">
                <a:bevelT/>
                <a:contourClr>
                  <a:schemeClr val="bg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D8F3-4906-85A9-E1DA6F98F219}"/>
              </c:ext>
            </c:extLst>
          </c:dPt>
          <c:dLbls>
            <c:dLbl>
              <c:idx val="0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8F3-4906-85A9-E1DA6F98F219}"/>
                </c:ext>
              </c:extLst>
            </c:dLbl>
            <c:dLbl>
              <c:idx val="1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8F3-4906-85A9-E1DA6F98F219}"/>
                </c:ext>
              </c:extLst>
            </c:dLbl>
            <c:dLbl>
              <c:idx val="2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8F3-4906-85A9-E1DA6F98F2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'100301'!$J$3:$J$6</c:f>
              <c:strCache>
                <c:ptCount val="3"/>
                <c:pt idx="0">
                  <c:v>REDOVITO ODRŽAVANJE I NABAVKA SOLI </c:v>
                </c:pt>
                <c:pt idx="1">
                  <c:v>IZVANREDNO ODRŽAVANJE</c:v>
                </c:pt>
                <c:pt idx="2">
                  <c:v>GRADNJA</c:v>
                </c:pt>
              </c:strCache>
            </c:strRef>
          </c:cat>
          <c:val>
            <c:numRef>
              <c:f>'100301'!$K$3:$K$6</c:f>
              <c:numCache>
                <c:formatCode>#,##0.00</c:formatCode>
                <c:ptCount val="3"/>
                <c:pt idx="0">
                  <c:v>6697877.2699999996</c:v>
                </c:pt>
                <c:pt idx="1">
                  <c:v>3930231.23</c:v>
                </c:pt>
                <c:pt idx="2">
                  <c:v>2882245.85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8F3-4906-85A9-E1DA6F98F21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356607857347705"/>
          <c:y val="0.76734028422852874"/>
          <c:w val="0.77265013980077413"/>
          <c:h val="0.209526604102822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rgbClr val="00B0F0"/>
      </a:solidFill>
      <a:round/>
    </a:ln>
    <a:effectLst/>
  </c:spPr>
  <c:txPr>
    <a:bodyPr/>
    <a:lstStyle/>
    <a:p>
      <a:pPr algn="just"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DA227-E7BE-4474-AD89-2ADDF872E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43</Pages>
  <Words>18565</Words>
  <Characters>105823</Characters>
  <Application>Microsoft Office Word</Application>
  <DocSecurity>0</DocSecurity>
  <Lines>881</Lines>
  <Paragraphs>248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Petrc Tomić</dc:creator>
  <cp:keywords/>
  <dc:description/>
  <cp:lastModifiedBy>Marina Petrc Tomić</cp:lastModifiedBy>
  <cp:revision>3</cp:revision>
  <dcterms:created xsi:type="dcterms:W3CDTF">2026-06-10T11:21:00Z</dcterms:created>
  <dcterms:modified xsi:type="dcterms:W3CDTF">2026-06-18T08:50:00Z</dcterms:modified>
</cp:coreProperties>
</file>